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B5" w:rsidRDefault="002529AD" w:rsidP="002529AD">
      <w:pPr>
        <w:jc w:val="both"/>
      </w:pPr>
      <w:r w:rsidRPr="002529AD">
        <w:t xml:space="preserve">Temeljem Izjave o osnivanju trgovačkog društva </w:t>
      </w:r>
      <w:r w:rsidRPr="000316CC">
        <w:rPr>
          <w:highlight w:val="yellow"/>
        </w:rPr>
        <w:t>ALFA d.o.o.</w:t>
      </w:r>
      <w:r w:rsidRPr="002529AD">
        <w:t xml:space="preserve"> i Zakona o fiskalizaciji u prometu gotovinom (NN br. 133/12</w:t>
      </w:r>
      <w:r>
        <w:t xml:space="preserve"> i 115/16</w:t>
      </w:r>
      <w:r w:rsidRPr="002529AD">
        <w:t xml:space="preserve">), direktor društva </w:t>
      </w:r>
      <w:r w:rsidRPr="000316CC">
        <w:rPr>
          <w:highlight w:val="yellow"/>
        </w:rPr>
        <w:t>ALFA d.o.o.</w:t>
      </w:r>
      <w:r w:rsidRPr="000316CC">
        <w:t>,</w:t>
      </w:r>
      <w:r w:rsidRPr="002529AD">
        <w:t xml:space="preserve"> </w:t>
      </w:r>
      <w:r w:rsidRPr="000316CC">
        <w:rPr>
          <w:highlight w:val="yellow"/>
        </w:rPr>
        <w:t>Ante Antić</w:t>
      </w:r>
      <w:r>
        <w:t>, dana 01</w:t>
      </w:r>
      <w:r w:rsidRPr="002529AD">
        <w:t>.0</w:t>
      </w:r>
      <w:r>
        <w:t>6</w:t>
      </w:r>
      <w:r w:rsidRPr="002529AD">
        <w:t>.2017. godine donosi sljedeću</w:t>
      </w:r>
    </w:p>
    <w:p w:rsidR="002529AD" w:rsidRDefault="002529AD" w:rsidP="002529AD">
      <w:pPr>
        <w:jc w:val="both"/>
      </w:pPr>
    </w:p>
    <w:p w:rsidR="002529AD" w:rsidRDefault="002529AD" w:rsidP="002529AD">
      <w:pPr>
        <w:jc w:val="both"/>
      </w:pPr>
    </w:p>
    <w:p w:rsidR="002529AD" w:rsidRDefault="002529AD" w:rsidP="002529AD">
      <w:pPr>
        <w:jc w:val="center"/>
        <w:rPr>
          <w:b/>
        </w:rPr>
      </w:pPr>
      <w:r w:rsidRPr="002529AD">
        <w:rPr>
          <w:b/>
        </w:rPr>
        <w:t>ODLUKU</w:t>
      </w:r>
    </w:p>
    <w:p w:rsidR="002529AD" w:rsidRPr="002529AD" w:rsidRDefault="002529AD" w:rsidP="002529AD">
      <w:pPr>
        <w:jc w:val="center"/>
        <w:rPr>
          <w:b/>
        </w:rPr>
      </w:pPr>
    </w:p>
    <w:p w:rsidR="002529AD" w:rsidRDefault="002529AD" w:rsidP="002529AD">
      <w:pPr>
        <w:jc w:val="center"/>
      </w:pPr>
      <w:r>
        <w:t>o pravilima slijednosti numeričkih brojeva računa, o poslovnim prostorima, o oznakama  naplatnih uređaja te označavanju operatera na naplatnim uređajima</w:t>
      </w:r>
    </w:p>
    <w:p w:rsidR="002529AD" w:rsidRDefault="002529AD" w:rsidP="002529AD"/>
    <w:p w:rsidR="002529AD" w:rsidRDefault="002529AD" w:rsidP="002529AD"/>
    <w:p w:rsidR="002529AD" w:rsidRDefault="002529AD" w:rsidP="002529AD"/>
    <w:p w:rsidR="002529AD" w:rsidRPr="002529AD" w:rsidRDefault="002529AD" w:rsidP="002529AD">
      <w:pPr>
        <w:jc w:val="center"/>
        <w:rPr>
          <w:b/>
        </w:rPr>
      </w:pPr>
      <w:r w:rsidRPr="002529AD">
        <w:rPr>
          <w:b/>
        </w:rPr>
        <w:t>Članak 2.</w:t>
      </w:r>
    </w:p>
    <w:p w:rsidR="002529AD" w:rsidRDefault="002529AD" w:rsidP="002529AD"/>
    <w:p w:rsidR="002529AD" w:rsidRDefault="002529AD" w:rsidP="002529AD">
      <w:pPr>
        <w:jc w:val="both"/>
      </w:pPr>
      <w:r>
        <w:t xml:space="preserve">Ovom Odlukom, sukladno Zakonu o fiskalizaciji u prometu gotovinom, uređuje se popis poslovnih  prostora Društva na adresi </w:t>
      </w:r>
      <w:r w:rsidRPr="000316CC">
        <w:rPr>
          <w:highlight w:val="yellow"/>
        </w:rPr>
        <w:t>ALFA d.o.o.</w:t>
      </w:r>
      <w:r>
        <w:t xml:space="preserve"> (OIB: </w:t>
      </w:r>
      <w:r w:rsidRPr="000316CC">
        <w:rPr>
          <w:highlight w:val="yellow"/>
        </w:rPr>
        <w:t>12345678910</w:t>
      </w:r>
      <w:r>
        <w:t xml:space="preserve">), </w:t>
      </w:r>
      <w:r w:rsidRPr="000316CC">
        <w:rPr>
          <w:highlight w:val="yellow"/>
        </w:rPr>
        <w:t>Ivanova 1</w:t>
      </w:r>
      <w:r>
        <w:t xml:space="preserve">, </w:t>
      </w:r>
      <w:r w:rsidRPr="000316CC">
        <w:rPr>
          <w:highlight w:val="yellow"/>
        </w:rPr>
        <w:t>10000 Zagreb</w:t>
      </w:r>
      <w:r>
        <w:t>, oznake koje će se navoditi na izdanim računima ALFA d.o.o., radno vrijeme te pravilo slijednosti numeričkih brojeva računa.</w:t>
      </w:r>
    </w:p>
    <w:p w:rsidR="002529AD" w:rsidRDefault="002529AD" w:rsidP="002529AD">
      <w:pPr>
        <w:jc w:val="both"/>
      </w:pPr>
    </w:p>
    <w:p w:rsidR="002529AD" w:rsidRDefault="002529AD" w:rsidP="002529AD">
      <w:pPr>
        <w:jc w:val="both"/>
      </w:pPr>
    </w:p>
    <w:p w:rsidR="002529AD" w:rsidRPr="002529AD" w:rsidRDefault="002529AD" w:rsidP="002529AD">
      <w:pPr>
        <w:jc w:val="center"/>
        <w:rPr>
          <w:b/>
        </w:rPr>
      </w:pPr>
      <w:r w:rsidRPr="002529AD">
        <w:rPr>
          <w:b/>
        </w:rPr>
        <w:t>Članak 3.</w:t>
      </w:r>
    </w:p>
    <w:p w:rsidR="002529AD" w:rsidRDefault="002529AD" w:rsidP="002529AD">
      <w:pPr>
        <w:jc w:val="both"/>
      </w:pPr>
    </w:p>
    <w:p w:rsidR="002529AD" w:rsidRDefault="002529AD" w:rsidP="002529AD">
      <w:pPr>
        <w:jc w:val="both"/>
      </w:pPr>
      <w:r>
        <w:t xml:space="preserve">S danom 01.06.2017. godine numerički broj računa po svakom naplatnom uređaju počinje od rednog broja 1 do broja „n“ na dan 31. prosinca tekuće godine poštujući pravilo slijednosti numeričkih brojeva računa, osim na prodajnom mjestu </w:t>
      </w:r>
      <w:r w:rsidRPr="000316CC">
        <w:rPr>
          <w:highlight w:val="yellow"/>
        </w:rPr>
        <w:t>ALFA01 – ALFA ured</w:t>
      </w:r>
      <w:r>
        <w:t>, gdje numerički brojevi nastavljaju započeti niz od 01.01.2017.</w:t>
      </w:r>
    </w:p>
    <w:p w:rsidR="002529AD" w:rsidRDefault="002529AD" w:rsidP="002529AD">
      <w:pPr>
        <w:jc w:val="both"/>
      </w:pPr>
    </w:p>
    <w:p w:rsidR="002529AD" w:rsidRPr="002529AD" w:rsidRDefault="002529AD" w:rsidP="002529AD">
      <w:pPr>
        <w:jc w:val="center"/>
        <w:rPr>
          <w:b/>
        </w:rPr>
      </w:pPr>
      <w:r w:rsidRPr="002529AD">
        <w:rPr>
          <w:b/>
        </w:rPr>
        <w:t>Članak 4.</w:t>
      </w:r>
    </w:p>
    <w:p w:rsidR="002529AD" w:rsidRDefault="002529AD" w:rsidP="002529AD">
      <w:pPr>
        <w:jc w:val="both"/>
      </w:pPr>
    </w:p>
    <w:p w:rsidR="002529AD" w:rsidRDefault="002529AD" w:rsidP="002529AD">
      <w:pPr>
        <w:jc w:val="both"/>
      </w:pPr>
      <w:r>
        <w:t xml:space="preserve">Društvo </w:t>
      </w:r>
      <w:r w:rsidRPr="000316CC">
        <w:rPr>
          <w:highlight w:val="yellow"/>
        </w:rPr>
        <w:t>ALFA d.o.o.</w:t>
      </w:r>
      <w:r>
        <w:t>, obavlja maloprodajnu djelatnost u prodajnim prostorima kako slijedi:</w:t>
      </w:r>
    </w:p>
    <w:p w:rsidR="002529AD" w:rsidRDefault="002529AD" w:rsidP="002529AD">
      <w:pPr>
        <w:jc w:val="both"/>
      </w:pPr>
    </w:p>
    <w:tbl>
      <w:tblPr>
        <w:tblStyle w:val="Reetkatablice"/>
        <w:tblW w:w="0" w:type="auto"/>
        <w:jc w:val="center"/>
        <w:tblLook w:val="04A0" w:firstRow="1" w:lastRow="0" w:firstColumn="1" w:lastColumn="0" w:noHBand="0" w:noVBand="1"/>
      </w:tblPr>
      <w:tblGrid>
        <w:gridCol w:w="2322"/>
        <w:gridCol w:w="2322"/>
        <w:gridCol w:w="2322"/>
        <w:gridCol w:w="2322"/>
      </w:tblGrid>
      <w:tr w:rsidR="002529AD" w:rsidTr="00562170">
        <w:trPr>
          <w:trHeight w:val="797"/>
          <w:jc w:val="center"/>
        </w:trPr>
        <w:tc>
          <w:tcPr>
            <w:tcW w:w="2322" w:type="dxa"/>
          </w:tcPr>
          <w:p w:rsidR="002529AD" w:rsidRDefault="002529AD" w:rsidP="002529AD">
            <w:pPr>
              <w:jc w:val="center"/>
            </w:pPr>
            <w:r>
              <w:t>Opis poslovnog prostora</w:t>
            </w:r>
          </w:p>
        </w:tc>
        <w:tc>
          <w:tcPr>
            <w:tcW w:w="2322" w:type="dxa"/>
          </w:tcPr>
          <w:p w:rsidR="002529AD" w:rsidRDefault="002529AD" w:rsidP="002529AD">
            <w:pPr>
              <w:jc w:val="center"/>
            </w:pPr>
            <w:r>
              <w:t>Oznaka poslovnog prostora</w:t>
            </w:r>
          </w:p>
        </w:tc>
        <w:tc>
          <w:tcPr>
            <w:tcW w:w="2322" w:type="dxa"/>
          </w:tcPr>
          <w:p w:rsidR="002529AD" w:rsidRDefault="002529AD" w:rsidP="002529AD">
            <w:pPr>
              <w:jc w:val="center"/>
            </w:pPr>
            <w:r>
              <w:t>Adresa poslovnog prostora</w:t>
            </w:r>
          </w:p>
        </w:tc>
        <w:tc>
          <w:tcPr>
            <w:tcW w:w="2322" w:type="dxa"/>
          </w:tcPr>
          <w:p w:rsidR="002529AD" w:rsidRDefault="002529AD" w:rsidP="002529AD">
            <w:pPr>
              <w:jc w:val="center"/>
            </w:pPr>
            <w:r>
              <w:t>Radno vrijeme</w:t>
            </w:r>
          </w:p>
        </w:tc>
      </w:tr>
      <w:tr w:rsidR="002529AD" w:rsidTr="00562170">
        <w:trPr>
          <w:jc w:val="center"/>
        </w:trPr>
        <w:tc>
          <w:tcPr>
            <w:tcW w:w="2322" w:type="dxa"/>
          </w:tcPr>
          <w:p w:rsidR="000316CC" w:rsidRPr="000316CC" w:rsidRDefault="002529AD" w:rsidP="002529AD">
            <w:pPr>
              <w:jc w:val="both"/>
              <w:rPr>
                <w:highlight w:val="yellow"/>
              </w:rPr>
            </w:pPr>
            <w:r w:rsidRPr="000316CC">
              <w:rPr>
                <w:highlight w:val="yellow"/>
              </w:rPr>
              <w:t>Maloprodaja ZG</w:t>
            </w:r>
          </w:p>
          <w:p w:rsidR="002529AD" w:rsidRPr="000316CC" w:rsidRDefault="002529AD" w:rsidP="000316CC">
            <w:pPr>
              <w:ind w:firstLine="708"/>
              <w:rPr>
                <w:highlight w:val="yellow"/>
              </w:rPr>
            </w:pPr>
          </w:p>
        </w:tc>
        <w:tc>
          <w:tcPr>
            <w:tcW w:w="2322" w:type="dxa"/>
          </w:tcPr>
          <w:p w:rsidR="002529AD" w:rsidRPr="000316CC" w:rsidRDefault="002529AD" w:rsidP="002529AD">
            <w:pPr>
              <w:jc w:val="center"/>
              <w:rPr>
                <w:highlight w:val="yellow"/>
              </w:rPr>
            </w:pPr>
            <w:r w:rsidRPr="000316CC">
              <w:rPr>
                <w:highlight w:val="yellow"/>
              </w:rPr>
              <w:t>ALFA02</w:t>
            </w:r>
          </w:p>
        </w:tc>
        <w:tc>
          <w:tcPr>
            <w:tcW w:w="2322" w:type="dxa"/>
          </w:tcPr>
          <w:p w:rsidR="002529AD" w:rsidRPr="000316CC" w:rsidRDefault="002529AD" w:rsidP="002529AD">
            <w:pPr>
              <w:jc w:val="both"/>
              <w:rPr>
                <w:highlight w:val="yellow"/>
              </w:rPr>
            </w:pPr>
            <w:r w:rsidRPr="000316CC">
              <w:rPr>
                <w:highlight w:val="yellow"/>
              </w:rPr>
              <w:t>Ivanova 1, 10000 Zagreb</w:t>
            </w:r>
          </w:p>
        </w:tc>
        <w:tc>
          <w:tcPr>
            <w:tcW w:w="2322" w:type="dxa"/>
          </w:tcPr>
          <w:p w:rsidR="002529AD" w:rsidRPr="000316CC" w:rsidRDefault="002529AD" w:rsidP="002529AD">
            <w:pPr>
              <w:jc w:val="both"/>
              <w:rPr>
                <w:highlight w:val="yellow"/>
              </w:rPr>
            </w:pPr>
            <w:r w:rsidRPr="000316CC">
              <w:rPr>
                <w:highlight w:val="yellow"/>
              </w:rPr>
              <w:t xml:space="preserve">Ponedjeljak-Petak </w:t>
            </w:r>
          </w:p>
          <w:p w:rsidR="002529AD" w:rsidRPr="000316CC" w:rsidRDefault="002529AD" w:rsidP="002529AD">
            <w:pPr>
              <w:jc w:val="both"/>
              <w:rPr>
                <w:highlight w:val="yellow"/>
              </w:rPr>
            </w:pPr>
            <w:r w:rsidRPr="000316CC">
              <w:rPr>
                <w:highlight w:val="yellow"/>
              </w:rPr>
              <w:t xml:space="preserve">08:00 – 16:00 </w:t>
            </w:r>
          </w:p>
        </w:tc>
      </w:tr>
      <w:tr w:rsidR="002529AD" w:rsidTr="00562170">
        <w:trPr>
          <w:jc w:val="center"/>
        </w:trPr>
        <w:tc>
          <w:tcPr>
            <w:tcW w:w="2322" w:type="dxa"/>
          </w:tcPr>
          <w:p w:rsidR="002529AD" w:rsidRPr="000316CC" w:rsidRDefault="002529AD" w:rsidP="002529AD">
            <w:pPr>
              <w:jc w:val="both"/>
              <w:rPr>
                <w:highlight w:val="yellow"/>
              </w:rPr>
            </w:pPr>
            <w:r w:rsidRPr="000316CC">
              <w:rPr>
                <w:highlight w:val="yellow"/>
              </w:rPr>
              <w:t>Ured Zagreb</w:t>
            </w:r>
          </w:p>
        </w:tc>
        <w:tc>
          <w:tcPr>
            <w:tcW w:w="2322" w:type="dxa"/>
          </w:tcPr>
          <w:p w:rsidR="002529AD" w:rsidRPr="000316CC" w:rsidRDefault="002529AD" w:rsidP="00562170">
            <w:pPr>
              <w:jc w:val="center"/>
              <w:rPr>
                <w:highlight w:val="yellow"/>
              </w:rPr>
            </w:pPr>
            <w:r w:rsidRPr="000316CC">
              <w:rPr>
                <w:highlight w:val="yellow"/>
              </w:rPr>
              <w:t>ALFA01</w:t>
            </w:r>
          </w:p>
        </w:tc>
        <w:tc>
          <w:tcPr>
            <w:tcW w:w="2322" w:type="dxa"/>
          </w:tcPr>
          <w:p w:rsidR="002529AD" w:rsidRPr="000316CC" w:rsidRDefault="002529AD" w:rsidP="002529AD">
            <w:pPr>
              <w:jc w:val="both"/>
              <w:rPr>
                <w:highlight w:val="yellow"/>
              </w:rPr>
            </w:pPr>
            <w:r w:rsidRPr="000316CC">
              <w:rPr>
                <w:highlight w:val="yellow"/>
              </w:rPr>
              <w:t>Ivanova 1, 10000 Zagreb</w:t>
            </w:r>
          </w:p>
        </w:tc>
        <w:tc>
          <w:tcPr>
            <w:tcW w:w="2322" w:type="dxa"/>
          </w:tcPr>
          <w:p w:rsidR="002529AD" w:rsidRPr="000316CC" w:rsidRDefault="002529AD" w:rsidP="002529AD">
            <w:pPr>
              <w:jc w:val="both"/>
              <w:rPr>
                <w:highlight w:val="yellow"/>
              </w:rPr>
            </w:pPr>
            <w:r w:rsidRPr="000316CC">
              <w:rPr>
                <w:highlight w:val="yellow"/>
              </w:rPr>
              <w:t xml:space="preserve">Ponedjeljak-Petak </w:t>
            </w:r>
          </w:p>
          <w:p w:rsidR="002529AD" w:rsidRPr="000316CC" w:rsidRDefault="002529AD" w:rsidP="002529AD">
            <w:pPr>
              <w:jc w:val="both"/>
              <w:rPr>
                <w:highlight w:val="yellow"/>
              </w:rPr>
            </w:pPr>
            <w:r w:rsidRPr="000316CC">
              <w:rPr>
                <w:highlight w:val="yellow"/>
              </w:rPr>
              <w:t>08:00 – 16:00</w:t>
            </w:r>
          </w:p>
        </w:tc>
      </w:tr>
    </w:tbl>
    <w:p w:rsidR="002529AD" w:rsidRDefault="002529AD" w:rsidP="002529AD">
      <w:pPr>
        <w:jc w:val="both"/>
      </w:pPr>
    </w:p>
    <w:p w:rsidR="002529AD" w:rsidRDefault="002529AD" w:rsidP="002529AD">
      <w:pPr>
        <w:jc w:val="both"/>
      </w:pPr>
    </w:p>
    <w:p w:rsidR="002529AD" w:rsidRPr="002529AD" w:rsidRDefault="002529AD" w:rsidP="002529AD">
      <w:pPr>
        <w:jc w:val="center"/>
        <w:rPr>
          <w:b/>
        </w:rPr>
      </w:pPr>
      <w:r w:rsidRPr="002529AD">
        <w:rPr>
          <w:b/>
        </w:rPr>
        <w:t>Članak 4.</w:t>
      </w:r>
    </w:p>
    <w:p w:rsidR="002529AD" w:rsidRDefault="002529AD" w:rsidP="002529AD">
      <w:pPr>
        <w:jc w:val="both"/>
      </w:pPr>
    </w:p>
    <w:p w:rsidR="002529AD" w:rsidRDefault="002529AD" w:rsidP="002529AD">
      <w:pPr>
        <w:jc w:val="both"/>
      </w:pPr>
      <w:r>
        <w:t>Slijednost računa definira se na razini naplatnog uređaja.</w:t>
      </w:r>
    </w:p>
    <w:p w:rsidR="002529AD" w:rsidRDefault="002529AD" w:rsidP="002529AD">
      <w:pPr>
        <w:jc w:val="both"/>
      </w:pPr>
    </w:p>
    <w:p w:rsidR="002529AD" w:rsidRPr="002529AD" w:rsidRDefault="002529AD" w:rsidP="002529AD">
      <w:pPr>
        <w:jc w:val="center"/>
        <w:rPr>
          <w:b/>
        </w:rPr>
      </w:pPr>
      <w:r w:rsidRPr="002529AD">
        <w:rPr>
          <w:b/>
        </w:rPr>
        <w:t>Članak 5.</w:t>
      </w:r>
    </w:p>
    <w:p w:rsidR="002529AD" w:rsidRDefault="002529AD" w:rsidP="002529AD">
      <w:pPr>
        <w:jc w:val="both"/>
      </w:pPr>
    </w:p>
    <w:p w:rsidR="002529AD" w:rsidRDefault="002529AD" w:rsidP="002529AD">
      <w:pPr>
        <w:jc w:val="both"/>
      </w:pPr>
      <w:r w:rsidRPr="002529AD">
        <w:t xml:space="preserve">U prodajnom prostoru oznake </w:t>
      </w:r>
      <w:r w:rsidRPr="000316CC">
        <w:rPr>
          <w:highlight w:val="yellow"/>
        </w:rPr>
        <w:t>ALFA02</w:t>
      </w:r>
      <w:r>
        <w:t xml:space="preserve"> </w:t>
      </w:r>
      <w:r w:rsidRPr="002529AD">
        <w:t>– „</w:t>
      </w:r>
      <w:r w:rsidRPr="000316CC">
        <w:rPr>
          <w:highlight w:val="yellow"/>
        </w:rPr>
        <w:t>Alfa</w:t>
      </w:r>
      <w:r w:rsidRPr="002529AD">
        <w:t xml:space="preserve">“ – nalazi se </w:t>
      </w:r>
      <w:r>
        <w:t>4</w:t>
      </w:r>
      <w:r w:rsidRPr="002529AD">
        <w:t xml:space="preserve"> naplatnih uređaja, označe</w:t>
      </w:r>
      <w:r>
        <w:t>nih arapskim brojevima od 01 –04</w:t>
      </w:r>
      <w:r w:rsidRPr="002529AD">
        <w:t>.</w:t>
      </w:r>
    </w:p>
    <w:p w:rsidR="002529AD" w:rsidRDefault="002529AD" w:rsidP="002529AD">
      <w:pPr>
        <w:jc w:val="both"/>
      </w:pPr>
    </w:p>
    <w:p w:rsidR="00562170" w:rsidRDefault="00562170" w:rsidP="002529AD">
      <w:pPr>
        <w:jc w:val="center"/>
        <w:rPr>
          <w:b/>
        </w:rPr>
      </w:pPr>
    </w:p>
    <w:p w:rsidR="00562170" w:rsidRDefault="00562170" w:rsidP="002529AD">
      <w:pPr>
        <w:jc w:val="center"/>
        <w:rPr>
          <w:b/>
        </w:rPr>
      </w:pPr>
    </w:p>
    <w:p w:rsidR="00562170" w:rsidRDefault="00562170" w:rsidP="002529AD">
      <w:pPr>
        <w:jc w:val="center"/>
        <w:rPr>
          <w:b/>
        </w:rPr>
      </w:pPr>
    </w:p>
    <w:p w:rsidR="00562170" w:rsidRDefault="00562170" w:rsidP="002529AD">
      <w:pPr>
        <w:jc w:val="center"/>
        <w:rPr>
          <w:b/>
        </w:rPr>
      </w:pPr>
    </w:p>
    <w:p w:rsidR="002529AD" w:rsidRPr="002529AD" w:rsidRDefault="002529AD" w:rsidP="002529AD">
      <w:pPr>
        <w:jc w:val="center"/>
        <w:rPr>
          <w:b/>
        </w:rPr>
      </w:pPr>
      <w:r w:rsidRPr="002529AD">
        <w:rPr>
          <w:b/>
        </w:rPr>
        <w:lastRenderedPageBreak/>
        <w:t>Članak 6.</w:t>
      </w:r>
    </w:p>
    <w:p w:rsidR="002529AD" w:rsidRDefault="002529AD" w:rsidP="002529AD">
      <w:pPr>
        <w:jc w:val="both"/>
      </w:pPr>
    </w:p>
    <w:p w:rsidR="002529AD" w:rsidRDefault="002529AD" w:rsidP="002529AD">
      <w:pPr>
        <w:jc w:val="both"/>
      </w:pPr>
      <w:r w:rsidRPr="002529AD">
        <w:t>Radnicima koji obavljaju naplatu na naplatnim uređajima (dalje: Operateri) dodjeljuju se sljedeće oznake operatera:</w:t>
      </w:r>
    </w:p>
    <w:p w:rsidR="002529AD" w:rsidRDefault="002529AD" w:rsidP="002529AD">
      <w:pPr>
        <w:jc w:val="both"/>
      </w:pPr>
    </w:p>
    <w:tbl>
      <w:tblPr>
        <w:tblStyle w:val="Reetkatablice"/>
        <w:tblW w:w="0" w:type="auto"/>
        <w:jc w:val="center"/>
        <w:tblLook w:val="04A0" w:firstRow="1" w:lastRow="0" w:firstColumn="1" w:lastColumn="0" w:noHBand="0" w:noVBand="1"/>
      </w:tblPr>
      <w:tblGrid>
        <w:gridCol w:w="4644"/>
        <w:gridCol w:w="4644"/>
      </w:tblGrid>
      <w:tr w:rsidR="002529AD" w:rsidTr="00562170">
        <w:trPr>
          <w:jc w:val="center"/>
        </w:trPr>
        <w:tc>
          <w:tcPr>
            <w:tcW w:w="4644" w:type="dxa"/>
            <w:vAlign w:val="center"/>
          </w:tcPr>
          <w:p w:rsidR="002529AD" w:rsidRDefault="002529AD" w:rsidP="00562170">
            <w:pPr>
              <w:jc w:val="center"/>
            </w:pPr>
            <w:r>
              <w:t>Broj operatera</w:t>
            </w:r>
          </w:p>
        </w:tc>
        <w:tc>
          <w:tcPr>
            <w:tcW w:w="4644" w:type="dxa"/>
            <w:vAlign w:val="center"/>
          </w:tcPr>
          <w:p w:rsidR="002529AD" w:rsidRDefault="002529AD" w:rsidP="00562170">
            <w:pPr>
              <w:jc w:val="center"/>
            </w:pPr>
            <w:r>
              <w:t>Operater</w:t>
            </w:r>
          </w:p>
        </w:tc>
      </w:tr>
      <w:tr w:rsidR="002529AD" w:rsidTr="00562170">
        <w:trPr>
          <w:jc w:val="center"/>
        </w:trPr>
        <w:tc>
          <w:tcPr>
            <w:tcW w:w="4644" w:type="dxa"/>
            <w:vAlign w:val="center"/>
          </w:tcPr>
          <w:p w:rsidR="00562170" w:rsidRPr="000316CC" w:rsidRDefault="00562170" w:rsidP="00562170">
            <w:pPr>
              <w:jc w:val="center"/>
              <w:rPr>
                <w:highlight w:val="yellow"/>
              </w:rPr>
            </w:pPr>
            <w:r w:rsidRPr="000316CC">
              <w:rPr>
                <w:highlight w:val="yellow"/>
              </w:rPr>
              <w:t>123457</w:t>
            </w:r>
          </w:p>
        </w:tc>
        <w:tc>
          <w:tcPr>
            <w:tcW w:w="4644" w:type="dxa"/>
            <w:vAlign w:val="center"/>
          </w:tcPr>
          <w:p w:rsidR="002529AD" w:rsidRPr="000316CC" w:rsidRDefault="00562170" w:rsidP="00562170">
            <w:pPr>
              <w:jc w:val="center"/>
              <w:rPr>
                <w:highlight w:val="yellow"/>
              </w:rPr>
            </w:pPr>
            <w:r w:rsidRPr="000316CC">
              <w:rPr>
                <w:highlight w:val="yellow"/>
              </w:rPr>
              <w:t>PPERIC</w:t>
            </w:r>
          </w:p>
        </w:tc>
      </w:tr>
      <w:tr w:rsidR="002529AD" w:rsidTr="00562170">
        <w:trPr>
          <w:jc w:val="center"/>
        </w:trPr>
        <w:tc>
          <w:tcPr>
            <w:tcW w:w="4644" w:type="dxa"/>
            <w:vAlign w:val="center"/>
          </w:tcPr>
          <w:p w:rsidR="002529AD" w:rsidRPr="000316CC" w:rsidRDefault="00562170" w:rsidP="00562170">
            <w:pPr>
              <w:jc w:val="center"/>
              <w:rPr>
                <w:highlight w:val="yellow"/>
              </w:rPr>
            </w:pPr>
            <w:r w:rsidRPr="000316CC">
              <w:rPr>
                <w:highlight w:val="yellow"/>
              </w:rPr>
              <w:t>123458</w:t>
            </w:r>
          </w:p>
        </w:tc>
        <w:tc>
          <w:tcPr>
            <w:tcW w:w="4644" w:type="dxa"/>
            <w:vAlign w:val="center"/>
          </w:tcPr>
          <w:p w:rsidR="002529AD" w:rsidRPr="000316CC" w:rsidRDefault="00562170" w:rsidP="00562170">
            <w:pPr>
              <w:jc w:val="center"/>
              <w:rPr>
                <w:highlight w:val="yellow"/>
              </w:rPr>
            </w:pPr>
            <w:r w:rsidRPr="000316CC">
              <w:rPr>
                <w:highlight w:val="yellow"/>
              </w:rPr>
              <w:t>IIVIC</w:t>
            </w:r>
          </w:p>
        </w:tc>
      </w:tr>
      <w:tr w:rsidR="002529AD" w:rsidTr="00562170">
        <w:trPr>
          <w:jc w:val="center"/>
        </w:trPr>
        <w:tc>
          <w:tcPr>
            <w:tcW w:w="4644" w:type="dxa"/>
            <w:vAlign w:val="center"/>
          </w:tcPr>
          <w:p w:rsidR="002529AD" w:rsidRPr="000316CC" w:rsidRDefault="00562170" w:rsidP="00562170">
            <w:pPr>
              <w:jc w:val="center"/>
              <w:rPr>
                <w:highlight w:val="yellow"/>
              </w:rPr>
            </w:pPr>
            <w:r w:rsidRPr="000316CC">
              <w:rPr>
                <w:highlight w:val="yellow"/>
              </w:rPr>
              <w:t>123459</w:t>
            </w:r>
          </w:p>
        </w:tc>
        <w:tc>
          <w:tcPr>
            <w:tcW w:w="4644" w:type="dxa"/>
            <w:vAlign w:val="center"/>
          </w:tcPr>
          <w:p w:rsidR="002529AD" w:rsidRPr="000316CC" w:rsidRDefault="00562170" w:rsidP="00562170">
            <w:pPr>
              <w:jc w:val="center"/>
              <w:rPr>
                <w:highlight w:val="yellow"/>
              </w:rPr>
            </w:pPr>
            <w:r w:rsidRPr="000316CC">
              <w:rPr>
                <w:highlight w:val="yellow"/>
              </w:rPr>
              <w:t>BBAKIC</w:t>
            </w:r>
          </w:p>
        </w:tc>
      </w:tr>
      <w:tr w:rsidR="002529AD" w:rsidTr="00562170">
        <w:trPr>
          <w:jc w:val="center"/>
        </w:trPr>
        <w:tc>
          <w:tcPr>
            <w:tcW w:w="4644" w:type="dxa"/>
            <w:vAlign w:val="center"/>
          </w:tcPr>
          <w:p w:rsidR="002529AD" w:rsidRPr="000316CC" w:rsidRDefault="00562170" w:rsidP="00562170">
            <w:pPr>
              <w:jc w:val="center"/>
              <w:rPr>
                <w:highlight w:val="yellow"/>
              </w:rPr>
            </w:pPr>
            <w:r w:rsidRPr="000316CC">
              <w:rPr>
                <w:highlight w:val="yellow"/>
              </w:rPr>
              <w:t>123460</w:t>
            </w:r>
          </w:p>
        </w:tc>
        <w:tc>
          <w:tcPr>
            <w:tcW w:w="4644" w:type="dxa"/>
            <w:vAlign w:val="center"/>
          </w:tcPr>
          <w:p w:rsidR="002529AD" w:rsidRPr="000316CC" w:rsidRDefault="00562170" w:rsidP="00562170">
            <w:pPr>
              <w:jc w:val="center"/>
              <w:rPr>
                <w:highlight w:val="yellow"/>
              </w:rPr>
            </w:pPr>
            <w:r w:rsidRPr="000316CC">
              <w:rPr>
                <w:highlight w:val="yellow"/>
              </w:rPr>
              <w:t>AANTIC</w:t>
            </w:r>
          </w:p>
        </w:tc>
      </w:tr>
    </w:tbl>
    <w:p w:rsidR="002529AD" w:rsidRDefault="002529AD" w:rsidP="002529AD">
      <w:pPr>
        <w:jc w:val="both"/>
      </w:pPr>
    </w:p>
    <w:p w:rsidR="00562170" w:rsidRDefault="00562170" w:rsidP="002529AD">
      <w:pPr>
        <w:jc w:val="both"/>
      </w:pPr>
      <w:r w:rsidRPr="00562170">
        <w:t>S obzirom na dostupnost pojedinog naplatnog uređaja u trenutku naplate, radno vrijeme/smjenu pojedinog operatera, svi navedeni operateri ovlašteni su obavljati naplatu na bilo kojem naplatnom  uređaju navedenog prodajnog mjesta, pri čemu se na izdanom računu navodi oznaka operatera koji je izvršio naplatu.</w:t>
      </w:r>
    </w:p>
    <w:p w:rsidR="00562170" w:rsidRDefault="00562170" w:rsidP="002529AD">
      <w:pPr>
        <w:jc w:val="both"/>
      </w:pPr>
    </w:p>
    <w:p w:rsidR="00562170" w:rsidRPr="00562170" w:rsidRDefault="00562170" w:rsidP="00562170">
      <w:pPr>
        <w:jc w:val="center"/>
        <w:rPr>
          <w:b/>
        </w:rPr>
      </w:pPr>
      <w:r w:rsidRPr="00562170">
        <w:rPr>
          <w:b/>
        </w:rPr>
        <w:t>Članak 7.</w:t>
      </w:r>
    </w:p>
    <w:p w:rsidR="00562170" w:rsidRDefault="00562170" w:rsidP="002529AD">
      <w:pPr>
        <w:jc w:val="both"/>
      </w:pPr>
    </w:p>
    <w:p w:rsidR="00562170" w:rsidRDefault="00562170" w:rsidP="002529AD">
      <w:pPr>
        <w:jc w:val="both"/>
      </w:pPr>
      <w:r w:rsidRPr="00562170">
        <w:t>Prema navedenim oznakama</w:t>
      </w:r>
      <w:r>
        <w:t xml:space="preserve"> brojevi računa trebaju na dan 01.06.</w:t>
      </w:r>
      <w:r w:rsidRPr="00562170">
        <w:t>2017. započeti po prodajnim mjestima  po svakom naplatnom uređaju ili poslovnom prostoru kako slijedi:</w:t>
      </w:r>
    </w:p>
    <w:p w:rsidR="00562170" w:rsidRDefault="00562170" w:rsidP="002529AD">
      <w:pPr>
        <w:jc w:val="both"/>
      </w:pPr>
    </w:p>
    <w:p w:rsidR="00562170" w:rsidRPr="000316CC" w:rsidRDefault="00562170" w:rsidP="00562170">
      <w:pPr>
        <w:pStyle w:val="Odlomakpopisa"/>
        <w:numPr>
          <w:ilvl w:val="0"/>
          <w:numId w:val="1"/>
        </w:numPr>
        <w:jc w:val="both"/>
        <w:rPr>
          <w:highlight w:val="yellow"/>
        </w:rPr>
      </w:pPr>
      <w:r w:rsidRPr="000316CC">
        <w:rPr>
          <w:highlight w:val="yellow"/>
        </w:rPr>
        <w:t>1/ALFA01/01</w:t>
      </w:r>
    </w:p>
    <w:p w:rsidR="00562170" w:rsidRPr="000316CC" w:rsidRDefault="00562170" w:rsidP="00562170">
      <w:pPr>
        <w:pStyle w:val="Odlomakpopisa"/>
        <w:numPr>
          <w:ilvl w:val="0"/>
          <w:numId w:val="1"/>
        </w:numPr>
        <w:jc w:val="both"/>
        <w:rPr>
          <w:highlight w:val="yellow"/>
        </w:rPr>
      </w:pPr>
      <w:r w:rsidRPr="000316CC">
        <w:rPr>
          <w:highlight w:val="yellow"/>
        </w:rPr>
        <w:t>1/ALFA01/02</w:t>
      </w:r>
    </w:p>
    <w:p w:rsidR="00562170" w:rsidRPr="000316CC" w:rsidRDefault="00562170" w:rsidP="00562170">
      <w:pPr>
        <w:pStyle w:val="Odlomakpopisa"/>
        <w:numPr>
          <w:ilvl w:val="0"/>
          <w:numId w:val="1"/>
        </w:numPr>
        <w:jc w:val="both"/>
        <w:rPr>
          <w:highlight w:val="yellow"/>
        </w:rPr>
      </w:pPr>
      <w:r w:rsidRPr="000316CC">
        <w:rPr>
          <w:highlight w:val="yellow"/>
        </w:rPr>
        <w:t>1/ALFA01/03</w:t>
      </w:r>
    </w:p>
    <w:p w:rsidR="00562170" w:rsidRPr="000316CC" w:rsidRDefault="00562170" w:rsidP="00562170">
      <w:pPr>
        <w:pStyle w:val="Odlomakpopisa"/>
        <w:numPr>
          <w:ilvl w:val="0"/>
          <w:numId w:val="1"/>
        </w:numPr>
        <w:jc w:val="both"/>
        <w:rPr>
          <w:highlight w:val="yellow"/>
        </w:rPr>
      </w:pPr>
      <w:r w:rsidRPr="000316CC">
        <w:rPr>
          <w:highlight w:val="yellow"/>
        </w:rPr>
        <w:t>1/ALFA01/04</w:t>
      </w:r>
      <w:bookmarkStart w:id="0" w:name="_GoBack"/>
      <w:bookmarkEnd w:id="0"/>
    </w:p>
    <w:p w:rsidR="00562170" w:rsidRDefault="00562170" w:rsidP="00562170">
      <w:pPr>
        <w:jc w:val="both"/>
      </w:pPr>
    </w:p>
    <w:p w:rsidR="00562170" w:rsidRPr="00562170" w:rsidRDefault="00562170" w:rsidP="00562170">
      <w:pPr>
        <w:jc w:val="center"/>
        <w:rPr>
          <w:b/>
        </w:rPr>
      </w:pPr>
      <w:r w:rsidRPr="00562170">
        <w:rPr>
          <w:b/>
        </w:rPr>
        <w:t>Članak 8.</w:t>
      </w:r>
    </w:p>
    <w:p w:rsidR="00562170" w:rsidRDefault="00562170" w:rsidP="00562170">
      <w:pPr>
        <w:jc w:val="both"/>
      </w:pPr>
    </w:p>
    <w:p w:rsidR="00562170" w:rsidRDefault="00562170" w:rsidP="00562170">
      <w:pPr>
        <w:jc w:val="both"/>
      </w:pPr>
      <w:r>
        <w:t>Broj računa, koji je prema odredbama Zakona i pravilnika o porezu na dodanu vrijednost, sastavni dio računa, iskazuje se u 3 dijela:</w:t>
      </w:r>
    </w:p>
    <w:p w:rsidR="00562170" w:rsidRDefault="00562170" w:rsidP="00562170">
      <w:pPr>
        <w:pStyle w:val="Odlomakpopisa"/>
        <w:numPr>
          <w:ilvl w:val="0"/>
          <w:numId w:val="6"/>
        </w:numPr>
        <w:jc w:val="both"/>
      </w:pPr>
      <w:r>
        <w:t>Numerički redoslijed počevši od broja 1 do n;</w:t>
      </w:r>
    </w:p>
    <w:p w:rsidR="00562170" w:rsidRDefault="00562170" w:rsidP="00562170">
      <w:pPr>
        <w:pStyle w:val="Odlomakpopisa"/>
        <w:numPr>
          <w:ilvl w:val="0"/>
          <w:numId w:val="7"/>
        </w:numPr>
        <w:jc w:val="both"/>
      </w:pPr>
      <w:r>
        <w:t>Oznaka prodajnog prostora;</w:t>
      </w:r>
    </w:p>
    <w:p w:rsidR="00562170" w:rsidRDefault="00562170" w:rsidP="00562170">
      <w:pPr>
        <w:pStyle w:val="Odlomakpopisa"/>
        <w:numPr>
          <w:ilvl w:val="0"/>
          <w:numId w:val="7"/>
        </w:numPr>
        <w:jc w:val="both"/>
      </w:pPr>
      <w:r>
        <w:t>Broj naplatnog uređaja.</w:t>
      </w:r>
    </w:p>
    <w:p w:rsidR="00562170" w:rsidRDefault="00562170" w:rsidP="00562170">
      <w:pPr>
        <w:jc w:val="both"/>
      </w:pPr>
    </w:p>
    <w:p w:rsidR="00562170" w:rsidRPr="00562170" w:rsidRDefault="00562170" w:rsidP="00562170">
      <w:pPr>
        <w:jc w:val="center"/>
        <w:rPr>
          <w:b/>
        </w:rPr>
      </w:pPr>
      <w:r w:rsidRPr="00562170">
        <w:rPr>
          <w:b/>
        </w:rPr>
        <w:t>Članak 9.</w:t>
      </w:r>
    </w:p>
    <w:p w:rsidR="00562170" w:rsidRDefault="00562170" w:rsidP="00562170">
      <w:pPr>
        <w:jc w:val="both"/>
      </w:pPr>
    </w:p>
    <w:p w:rsidR="00562170" w:rsidRDefault="00562170" w:rsidP="00562170">
      <w:pPr>
        <w:jc w:val="both"/>
      </w:pPr>
      <w:r>
        <w:t>Svi zaposlenici poslodavca koji su ovlašteni izdavati račune obvezni su u odnosu na dodijeljene oznake i pravilo slijednosti pridržavati se kod izdavanja računa odredbi ove Odluke.</w:t>
      </w:r>
    </w:p>
    <w:p w:rsidR="00562170" w:rsidRDefault="00562170" w:rsidP="00562170">
      <w:pPr>
        <w:jc w:val="both"/>
      </w:pPr>
    </w:p>
    <w:p w:rsidR="00562170" w:rsidRDefault="00562170" w:rsidP="00562170">
      <w:pPr>
        <w:jc w:val="both"/>
      </w:pPr>
    </w:p>
    <w:p w:rsidR="00562170" w:rsidRDefault="00562170" w:rsidP="00562170">
      <w:pPr>
        <w:jc w:val="right"/>
      </w:pPr>
    </w:p>
    <w:p w:rsidR="00562170" w:rsidRPr="000316CC" w:rsidRDefault="00562170" w:rsidP="00562170">
      <w:pPr>
        <w:jc w:val="right"/>
        <w:rPr>
          <w:b/>
          <w:highlight w:val="yellow"/>
        </w:rPr>
      </w:pPr>
      <w:r w:rsidRPr="000316CC">
        <w:rPr>
          <w:b/>
          <w:highlight w:val="yellow"/>
        </w:rPr>
        <w:t>ALFA d.o.o.</w:t>
      </w:r>
    </w:p>
    <w:p w:rsidR="00562170" w:rsidRPr="000316CC" w:rsidRDefault="00562170" w:rsidP="00562170">
      <w:pPr>
        <w:jc w:val="right"/>
        <w:rPr>
          <w:b/>
          <w:highlight w:val="yellow"/>
        </w:rPr>
      </w:pPr>
    </w:p>
    <w:p w:rsidR="00562170" w:rsidRPr="000316CC" w:rsidRDefault="00562170" w:rsidP="00562170">
      <w:pPr>
        <w:jc w:val="right"/>
        <w:rPr>
          <w:b/>
          <w:highlight w:val="yellow"/>
        </w:rPr>
      </w:pPr>
      <w:r w:rsidRPr="000316CC">
        <w:rPr>
          <w:b/>
          <w:highlight w:val="yellow"/>
        </w:rPr>
        <w:t xml:space="preserve">Direktor </w:t>
      </w:r>
    </w:p>
    <w:p w:rsidR="00562170" w:rsidRPr="00562170" w:rsidRDefault="00562170" w:rsidP="00562170">
      <w:pPr>
        <w:jc w:val="right"/>
        <w:rPr>
          <w:b/>
        </w:rPr>
      </w:pPr>
      <w:r w:rsidRPr="000316CC">
        <w:rPr>
          <w:b/>
          <w:highlight w:val="yellow"/>
        </w:rPr>
        <w:t>Ante Antić</w:t>
      </w:r>
    </w:p>
    <w:p w:rsidR="00562170" w:rsidRDefault="00562170" w:rsidP="00562170">
      <w:pPr>
        <w:jc w:val="both"/>
      </w:pPr>
    </w:p>
    <w:sectPr w:rsidR="00562170" w:rsidSect="005621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6E3D"/>
    <w:multiLevelType w:val="hybridMultilevel"/>
    <w:tmpl w:val="B5D2DC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272BDD"/>
    <w:multiLevelType w:val="hybridMultilevel"/>
    <w:tmpl w:val="001EC840"/>
    <w:lvl w:ilvl="0" w:tplc="B388E2EA">
      <w:start w:val="1"/>
      <w:numFmt w:val="decimal"/>
      <w:lvlText w:val="%1."/>
      <w:lvlJc w:val="left"/>
      <w:pPr>
        <w:ind w:left="1413"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A00F61"/>
    <w:multiLevelType w:val="hybridMultilevel"/>
    <w:tmpl w:val="7C1CD05A"/>
    <w:lvl w:ilvl="0" w:tplc="B75AA122">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40537598"/>
    <w:multiLevelType w:val="hybridMultilevel"/>
    <w:tmpl w:val="30EE747E"/>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nsid w:val="522F2ED8"/>
    <w:multiLevelType w:val="hybridMultilevel"/>
    <w:tmpl w:val="BA887DCE"/>
    <w:lvl w:ilvl="0" w:tplc="B75AA122">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5EE83CB0"/>
    <w:multiLevelType w:val="hybridMultilevel"/>
    <w:tmpl w:val="C58C4192"/>
    <w:lvl w:ilvl="0" w:tplc="B388E2EA">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7ED4656A"/>
    <w:multiLevelType w:val="hybridMultilevel"/>
    <w:tmpl w:val="A2807530"/>
    <w:lvl w:ilvl="0" w:tplc="B388E2EA">
      <w:start w:val="1"/>
      <w:numFmt w:val="decimal"/>
      <w:lvlText w:val="%1."/>
      <w:lvlJc w:val="left"/>
      <w:pPr>
        <w:ind w:left="1413"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D0"/>
    <w:rsid w:val="000316CC"/>
    <w:rsid w:val="002529AD"/>
    <w:rsid w:val="00562170"/>
    <w:rsid w:val="007C58D0"/>
    <w:rsid w:val="009C1A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25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62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25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6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417</Words>
  <Characters>2381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Lončarek</dc:creator>
  <cp:keywords/>
  <dc:description/>
  <cp:lastModifiedBy>Mario Lončarek</cp:lastModifiedBy>
  <cp:revision>4</cp:revision>
  <dcterms:created xsi:type="dcterms:W3CDTF">2017-06-23T07:07:00Z</dcterms:created>
  <dcterms:modified xsi:type="dcterms:W3CDTF">2017-06-26T06:22:00Z</dcterms:modified>
</cp:coreProperties>
</file>