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45" w:rsidRPr="009F09EE" w:rsidRDefault="00AD5B45" w:rsidP="009F09EE">
      <w:pPr>
        <w:pStyle w:val="Naslov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Poticaji za investicijske projekte</w:t>
      </w:r>
    </w:p>
    <w:p w:rsidR="001A7E58" w:rsidRPr="00CC5254" w:rsidRDefault="001A7E58" w:rsidP="00CC5254">
      <w:pPr>
        <w:spacing w:before="120" w:after="120" w:line="276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 xml:space="preserve">U cilju povećanja izravnih domaćih i stranih ulaganja te povećanja konkurentnosti hrvatskog gospodarstva, provode </w:t>
      </w:r>
      <w:r w:rsidR="007E38EF" w:rsidRPr="00CC5254">
        <w:rPr>
          <w:rFonts w:ascii="Arial" w:eastAsia="Times New Roman" w:hAnsi="Arial" w:cs="Arial"/>
          <w:i w:val="0"/>
          <w:lang w:eastAsia="hr-HR"/>
        </w:rPr>
        <w:t xml:space="preserve">se </w:t>
      </w:r>
      <w:r w:rsidRPr="00CC5254">
        <w:rPr>
          <w:rFonts w:ascii="Arial" w:eastAsia="Times New Roman" w:hAnsi="Arial" w:cs="Arial"/>
          <w:i w:val="0"/>
          <w:lang w:eastAsia="hr-HR"/>
        </w:rPr>
        <w:t>aktivnosti vezane za unapređenje zakonodavnog okvira za poticanje ulaganja, te su tijekom 201</w:t>
      </w:r>
      <w:r w:rsidR="00497B30" w:rsidRPr="00CC5254">
        <w:rPr>
          <w:rFonts w:ascii="Arial" w:eastAsia="Times New Roman" w:hAnsi="Arial" w:cs="Arial"/>
          <w:i w:val="0"/>
          <w:lang w:eastAsia="hr-HR"/>
        </w:rPr>
        <w:t>8</w:t>
      </w:r>
      <w:r w:rsidRPr="00CC5254">
        <w:rPr>
          <w:rFonts w:ascii="Arial" w:eastAsia="Times New Roman" w:hAnsi="Arial" w:cs="Arial"/>
          <w:i w:val="0"/>
          <w:lang w:eastAsia="hr-HR"/>
        </w:rPr>
        <w:t xml:space="preserve">. godine </w:t>
      </w:r>
      <w:r w:rsidR="00497B30" w:rsidRPr="00CC5254">
        <w:rPr>
          <w:rFonts w:ascii="Arial" w:eastAsia="Times New Roman" w:hAnsi="Arial" w:cs="Arial"/>
          <w:i w:val="0"/>
          <w:lang w:eastAsia="hr-HR"/>
        </w:rPr>
        <w:t>provedene</w:t>
      </w:r>
      <w:r w:rsidRPr="00CC5254">
        <w:rPr>
          <w:rFonts w:ascii="Arial" w:eastAsia="Times New Roman" w:hAnsi="Arial" w:cs="Arial"/>
          <w:i w:val="0"/>
          <w:lang w:eastAsia="hr-HR"/>
        </w:rPr>
        <w:t xml:space="preserve"> izmjene </w:t>
      </w:r>
      <w:r w:rsidRPr="00CC5254">
        <w:rPr>
          <w:rFonts w:ascii="Arial" w:eastAsia="Times New Roman" w:hAnsi="Arial" w:cs="Arial"/>
          <w:b/>
          <w:bCs/>
          <w:lang w:eastAsia="hr-HR"/>
        </w:rPr>
        <w:t>Zakona o poticanju ulaganja</w:t>
      </w:r>
      <w:r w:rsidR="00497B30" w:rsidRPr="00CC5254">
        <w:rPr>
          <w:rFonts w:ascii="Arial" w:eastAsia="Times New Roman" w:hAnsi="Arial" w:cs="Arial"/>
          <w:b/>
          <w:bCs/>
          <w:i w:val="0"/>
          <w:lang w:eastAsia="hr-HR"/>
        </w:rPr>
        <w:t xml:space="preserve"> </w:t>
      </w:r>
      <w:r w:rsidR="00497B30" w:rsidRPr="00CC5254">
        <w:rPr>
          <w:rFonts w:ascii="Arial" w:eastAsia="Times New Roman" w:hAnsi="Arial" w:cs="Arial"/>
          <w:i w:val="0"/>
          <w:lang w:eastAsia="hr-HR"/>
        </w:rPr>
        <w:t>(NN, br. 102/15, 25/18, 114/18)</w:t>
      </w:r>
      <w:r w:rsidRPr="00CC5254">
        <w:rPr>
          <w:rFonts w:ascii="Arial" w:eastAsia="Times New Roman" w:hAnsi="Arial" w:cs="Arial"/>
          <w:i w:val="0"/>
          <w:lang w:eastAsia="hr-HR"/>
        </w:rPr>
        <w:t xml:space="preserve">, </w:t>
      </w:r>
      <w:r w:rsidR="00497B30" w:rsidRPr="00CC5254">
        <w:rPr>
          <w:rFonts w:ascii="Arial" w:eastAsia="Times New Roman" w:hAnsi="Arial" w:cs="Arial"/>
          <w:i w:val="0"/>
          <w:lang w:eastAsia="hr-HR"/>
        </w:rPr>
        <w:t>koje su stupile na snagu 01.01.2019. godine.</w:t>
      </w:r>
      <w:r w:rsidRPr="00CC5254">
        <w:rPr>
          <w:rFonts w:ascii="Arial" w:eastAsia="Times New Roman" w:hAnsi="Arial" w:cs="Arial"/>
          <w:i w:val="0"/>
          <w:lang w:eastAsia="hr-HR"/>
        </w:rPr>
        <w:t xml:space="preserve"> </w:t>
      </w:r>
    </w:p>
    <w:p w:rsidR="00497B30" w:rsidRPr="00CC5254" w:rsidRDefault="00497B30" w:rsidP="00CC5254">
      <w:pPr>
        <w:spacing w:before="120" w:after="120" w:line="276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Provedbeni akt ovog Zakona je</w:t>
      </w:r>
      <w:r w:rsidRPr="00CC5254">
        <w:rPr>
          <w:rFonts w:ascii="Arial" w:eastAsia="Times New Roman" w:hAnsi="Arial" w:cs="Arial"/>
          <w:b/>
          <w:bCs/>
          <w:i w:val="0"/>
          <w:lang w:eastAsia="hr-HR"/>
        </w:rPr>
        <w:t xml:space="preserve"> </w:t>
      </w:r>
      <w:r w:rsidRPr="00CC5254">
        <w:rPr>
          <w:rFonts w:ascii="Arial" w:eastAsia="Times New Roman" w:hAnsi="Arial" w:cs="Arial"/>
          <w:b/>
          <w:bCs/>
          <w:lang w:eastAsia="hr-HR"/>
        </w:rPr>
        <w:t>Uredba o poticanju ulaganja</w:t>
      </w:r>
      <w:r w:rsidRPr="00CC5254">
        <w:rPr>
          <w:rFonts w:ascii="Arial" w:eastAsia="Times New Roman" w:hAnsi="Arial" w:cs="Arial"/>
          <w:b/>
          <w:bCs/>
          <w:i w:val="0"/>
          <w:lang w:eastAsia="hr-HR"/>
        </w:rPr>
        <w:t xml:space="preserve"> </w:t>
      </w:r>
      <w:r w:rsidRPr="00CC5254">
        <w:rPr>
          <w:rFonts w:ascii="Arial" w:eastAsia="Times New Roman" w:hAnsi="Arial" w:cs="Arial"/>
          <w:i w:val="0"/>
          <w:lang w:eastAsia="hr-HR"/>
        </w:rPr>
        <w:t>(NN 31/16, 2/19) kojom se propisuje oblik i obvezni sadržaj Prijave za odobrenje statusa korisnika potpore s pripadajućim obrascima, postupak prijave, odobravanja i korištenja potpora, te obvezni sadržaj godišnjeg izvješća o izvršenju projekta ulaganja i korištenju potpora.</w:t>
      </w:r>
    </w:p>
    <w:p w:rsidR="001A7E58" w:rsidRPr="00CC5254" w:rsidRDefault="001A7E58" w:rsidP="00CC5254">
      <w:pPr>
        <w:spacing w:before="120" w:after="120" w:line="276" w:lineRule="auto"/>
        <w:jc w:val="both"/>
        <w:rPr>
          <w:rFonts w:ascii="Arial" w:eastAsia="Times New Roman" w:hAnsi="Arial" w:cs="Arial"/>
          <w:i w:val="0"/>
          <w:sz w:val="36"/>
          <w:szCs w:val="36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 xml:space="preserve">U Republici Hrvatskoj jednaki tretman, prava i obveze imaju domaći i strani ulagači. Ulagači za svoje projekte ulaganja mogu koristiti bespovratne novčane potpore </w:t>
      </w:r>
      <w:r w:rsidR="0076030C" w:rsidRPr="00CC5254">
        <w:rPr>
          <w:rFonts w:ascii="Arial" w:eastAsia="Times New Roman" w:hAnsi="Arial" w:cs="Arial"/>
          <w:i w:val="0"/>
          <w:lang w:eastAsia="hr-HR"/>
        </w:rPr>
        <w:t>i</w:t>
      </w:r>
      <w:r w:rsidRPr="00CC5254">
        <w:rPr>
          <w:rFonts w:ascii="Arial" w:eastAsia="Times New Roman" w:hAnsi="Arial" w:cs="Arial"/>
          <w:i w:val="0"/>
          <w:lang w:eastAsia="hr-HR"/>
        </w:rPr>
        <w:t xml:space="preserve"> porezne olakšice</w:t>
      </w:r>
      <w:r w:rsidR="007E38EF" w:rsidRPr="00CC5254">
        <w:rPr>
          <w:rFonts w:ascii="Arial" w:eastAsia="Times New Roman" w:hAnsi="Arial" w:cs="Arial"/>
          <w:i w:val="0"/>
          <w:lang w:eastAsia="hr-HR"/>
        </w:rPr>
        <w:t xml:space="preserve"> te u nastavku kroz pitanja i odgovore navodimo kratak pregled mogućih poticajnih mjera</w:t>
      </w:r>
      <w:r w:rsidR="0076030C" w:rsidRPr="00CC5254">
        <w:rPr>
          <w:rFonts w:ascii="Arial" w:eastAsia="Times New Roman" w:hAnsi="Arial" w:cs="Arial"/>
          <w:i w:val="0"/>
          <w:lang w:eastAsia="hr-HR"/>
        </w:rPr>
        <w:t xml:space="preserve"> za investicijske projekte</w:t>
      </w:r>
      <w:r w:rsidR="007E38EF" w:rsidRPr="00CC5254">
        <w:rPr>
          <w:rFonts w:ascii="Arial" w:eastAsia="Times New Roman" w:hAnsi="Arial" w:cs="Arial"/>
          <w:i w:val="0"/>
          <w:lang w:eastAsia="hr-HR"/>
        </w:rPr>
        <w:t>.</w:t>
      </w: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Za koje se investicijske projekte mogu dobiti poticaji?</w:t>
      </w:r>
    </w:p>
    <w:p w:rsidR="00AD5B45" w:rsidRPr="00CC5254" w:rsidRDefault="00AD5B45" w:rsidP="00900D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 xml:space="preserve">Poticajne mjere </w:t>
      </w:r>
      <w:r w:rsidR="00497B30" w:rsidRPr="00CC5254">
        <w:rPr>
          <w:rFonts w:ascii="Arial" w:eastAsia="Times New Roman" w:hAnsi="Arial" w:cs="Arial"/>
          <w:i w:val="0"/>
          <w:lang w:eastAsia="hr-HR"/>
        </w:rPr>
        <w:t xml:space="preserve">se </w:t>
      </w:r>
      <w:r w:rsidRPr="00CC5254">
        <w:rPr>
          <w:rFonts w:ascii="Arial" w:eastAsia="Times New Roman" w:hAnsi="Arial" w:cs="Arial"/>
          <w:i w:val="0"/>
          <w:lang w:eastAsia="hr-HR"/>
        </w:rPr>
        <w:t xml:space="preserve">odnose na </w:t>
      </w:r>
      <w:r w:rsidRPr="00CC5254">
        <w:rPr>
          <w:rFonts w:ascii="Arial" w:eastAsia="Times New Roman" w:hAnsi="Arial" w:cs="Arial"/>
          <w:b/>
          <w:i w:val="0"/>
          <w:lang w:eastAsia="hr-HR"/>
        </w:rPr>
        <w:t>investicijske projekte u</w:t>
      </w:r>
      <w:r w:rsidRPr="00CC5254">
        <w:rPr>
          <w:rFonts w:ascii="Arial" w:eastAsia="Times New Roman" w:hAnsi="Arial" w:cs="Arial"/>
          <w:i w:val="0"/>
          <w:lang w:eastAsia="hr-HR"/>
        </w:rPr>
        <w:t>:</w:t>
      </w:r>
    </w:p>
    <w:p w:rsidR="00AD5B45" w:rsidRPr="00CC5254" w:rsidRDefault="00AD5B45" w:rsidP="00CC52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proizvodno-prerađivačkim aktivnostima,</w:t>
      </w:r>
    </w:p>
    <w:p w:rsidR="00AD5B45" w:rsidRPr="00CC5254" w:rsidRDefault="00AD5B45" w:rsidP="00CC52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razvojno-inovacijskim aktivnostima,</w:t>
      </w:r>
    </w:p>
    <w:p w:rsidR="00AD5B45" w:rsidRPr="00CC5254" w:rsidRDefault="00AD5B45" w:rsidP="00CC52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aktivnostima poslovne podrške i</w:t>
      </w:r>
    </w:p>
    <w:p w:rsidR="00AD5B45" w:rsidRPr="00CC5254" w:rsidRDefault="00AD5B45" w:rsidP="00CC52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aktivnostima usluga visoke dodane vrijednosti.</w:t>
      </w:r>
    </w:p>
    <w:p w:rsidR="00AD5B45" w:rsidRPr="00CC5254" w:rsidRDefault="00AD5B45" w:rsidP="00AE2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 w:val="0"/>
          <w:lang w:eastAsia="hr-HR"/>
        </w:rPr>
      </w:pPr>
      <w:r w:rsidRPr="00CC5254">
        <w:rPr>
          <w:rFonts w:ascii="Arial" w:eastAsia="Times New Roman" w:hAnsi="Arial" w:cs="Arial"/>
          <w:b/>
          <w:bCs/>
          <w:i w:val="0"/>
          <w:lang w:eastAsia="hr-HR"/>
        </w:rPr>
        <w:t>Potpore uključuju: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porezne potpore za mikro</w:t>
      </w:r>
      <w:r w:rsidR="00AE2B96" w:rsidRPr="00CC5254">
        <w:rPr>
          <w:rFonts w:ascii="Arial" w:eastAsia="Times New Roman" w:hAnsi="Arial" w:cs="Arial"/>
          <w:i w:val="0"/>
          <w:lang w:eastAsia="hr-HR"/>
        </w:rPr>
        <w:t xml:space="preserve"> </w:t>
      </w:r>
      <w:r w:rsidRPr="00CC5254">
        <w:rPr>
          <w:rFonts w:ascii="Arial" w:eastAsia="Times New Roman" w:hAnsi="Arial" w:cs="Arial"/>
          <w:i w:val="0"/>
          <w:lang w:eastAsia="hr-HR"/>
        </w:rPr>
        <w:t>poduzetnike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,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porezne potpore za male, srednje i velike poduzetnike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,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potpore za opravdane troškove novih radnih mjesta povezanih s projektom ulaganja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,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potpore za opravdane troškove usavršavanja povezanih s projektom ulaganja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,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 xml:space="preserve">potpore za: </w:t>
      </w:r>
    </w:p>
    <w:p w:rsidR="00AD5B45" w:rsidRPr="00CC5254" w:rsidRDefault="00AD5B45" w:rsidP="00CC525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razvojno-inovacijske aktivnosti</w:t>
      </w:r>
    </w:p>
    <w:p w:rsidR="00AD5B45" w:rsidRPr="00CC5254" w:rsidRDefault="00AD5B45" w:rsidP="00CC525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aktivnosti poslovne podrške i</w:t>
      </w:r>
    </w:p>
    <w:p w:rsidR="00AD5B45" w:rsidRPr="00CC5254" w:rsidRDefault="00AD5B45" w:rsidP="00CC525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aktivnosti usluga visoke dodane vrijednosti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;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potpore za kapitalne troškove projekta ulaganja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,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potpore za radno intenzivne projekte ulaganja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,</w:t>
      </w:r>
    </w:p>
    <w:p w:rsidR="00AD5B45" w:rsidRPr="00CC5254" w:rsidRDefault="00AD5B45" w:rsidP="00CC52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CC5254">
        <w:rPr>
          <w:rFonts w:ascii="Arial" w:eastAsia="Times New Roman" w:hAnsi="Arial" w:cs="Arial"/>
          <w:i w:val="0"/>
          <w:lang w:eastAsia="hr-HR"/>
        </w:rPr>
        <w:t>potpore za projekte ulaganja kroz gospodarsko aktiviranje neaktivne imovine u vlasništvu Republike Hrvatske</w:t>
      </w:r>
      <w:r w:rsidR="00AE2B96" w:rsidRPr="00CC5254">
        <w:rPr>
          <w:rFonts w:ascii="Arial" w:eastAsia="Times New Roman" w:hAnsi="Arial" w:cs="Arial"/>
          <w:i w:val="0"/>
          <w:lang w:eastAsia="hr-HR"/>
        </w:rPr>
        <w:t>.</w:t>
      </w: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Tko može aplicirati za poticaje?</w:t>
      </w:r>
    </w:p>
    <w:p w:rsidR="00AD5B45" w:rsidRPr="009F09EE" w:rsidRDefault="00AD5B45" w:rsidP="00AE2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9F09EE">
        <w:rPr>
          <w:rFonts w:ascii="Arial" w:eastAsia="Times New Roman" w:hAnsi="Arial" w:cs="Arial"/>
          <w:i w:val="0"/>
          <w:lang w:eastAsia="hr-HR"/>
        </w:rPr>
        <w:t xml:space="preserve">Poticajne mjere mogu koristiti </w:t>
      </w:r>
      <w:r w:rsidRPr="009F09EE">
        <w:rPr>
          <w:rFonts w:ascii="Arial" w:eastAsia="Times New Roman" w:hAnsi="Arial" w:cs="Arial"/>
          <w:b/>
          <w:bCs/>
          <w:i w:val="0"/>
          <w:lang w:eastAsia="hr-HR"/>
        </w:rPr>
        <w:t>poduzetnici registrirani u Republici Hrvatskoj</w:t>
      </w:r>
      <w:r w:rsidRPr="009F09EE">
        <w:rPr>
          <w:rFonts w:ascii="Arial" w:eastAsia="Times New Roman" w:hAnsi="Arial" w:cs="Arial"/>
          <w:i w:val="0"/>
          <w:lang w:eastAsia="hr-HR"/>
        </w:rPr>
        <w:t xml:space="preserve"> koj</w:t>
      </w:r>
      <w:r w:rsidR="00AE2B96" w:rsidRPr="009F09EE">
        <w:rPr>
          <w:rFonts w:ascii="Arial" w:eastAsia="Times New Roman" w:hAnsi="Arial" w:cs="Arial"/>
          <w:i w:val="0"/>
          <w:lang w:eastAsia="hr-HR"/>
        </w:rPr>
        <w:t xml:space="preserve">i </w:t>
      </w:r>
      <w:r w:rsidRPr="009F09EE">
        <w:rPr>
          <w:rFonts w:ascii="Arial" w:eastAsia="Times New Roman" w:hAnsi="Arial" w:cs="Arial"/>
          <w:i w:val="0"/>
          <w:lang w:eastAsia="hr-HR"/>
        </w:rPr>
        <w:t>izvrše</w:t>
      </w:r>
      <w:r w:rsidRPr="009F09EE">
        <w:rPr>
          <w:rFonts w:ascii="Arial" w:eastAsia="Times New Roman" w:hAnsi="Arial" w:cs="Arial"/>
          <w:i w:val="0"/>
          <w:lang w:eastAsia="hr-HR"/>
        </w:rPr>
        <w:br/>
        <w:t>ulaganje u dugotrajnu imovinu u minimalnom iznosu od:</w:t>
      </w:r>
    </w:p>
    <w:p w:rsidR="00AD5B45" w:rsidRPr="009F09EE" w:rsidRDefault="00AD5B45" w:rsidP="00AE2B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9F09EE">
        <w:rPr>
          <w:rFonts w:ascii="Arial" w:eastAsia="Times New Roman" w:hAnsi="Arial" w:cs="Arial"/>
          <w:i w:val="0"/>
          <w:lang w:eastAsia="hr-HR"/>
        </w:rPr>
        <w:t>50.000</w:t>
      </w:r>
      <w:r w:rsidR="00AE2B96" w:rsidRPr="009F09EE">
        <w:rPr>
          <w:rFonts w:ascii="Arial" w:eastAsia="Times New Roman" w:hAnsi="Arial" w:cs="Arial"/>
          <w:i w:val="0"/>
          <w:lang w:eastAsia="hr-HR"/>
        </w:rPr>
        <w:t xml:space="preserve"> </w:t>
      </w:r>
      <w:r w:rsidRPr="009F09EE">
        <w:rPr>
          <w:rFonts w:ascii="Arial" w:eastAsia="Times New Roman" w:hAnsi="Arial" w:cs="Arial"/>
          <w:i w:val="0"/>
          <w:lang w:eastAsia="hr-HR"/>
        </w:rPr>
        <w:t>€ i uz otvaranje najmanje 3 nova radna mjesta</w:t>
      </w:r>
      <w:r w:rsidR="00AE2B96" w:rsidRPr="009F09EE">
        <w:rPr>
          <w:rFonts w:ascii="Arial" w:eastAsia="Times New Roman" w:hAnsi="Arial" w:cs="Arial"/>
          <w:i w:val="0"/>
          <w:lang w:eastAsia="hr-HR"/>
        </w:rPr>
        <w:t xml:space="preserve"> – </w:t>
      </w:r>
      <w:r w:rsidR="00AE2B96" w:rsidRPr="009F09EE">
        <w:rPr>
          <w:rFonts w:ascii="Arial" w:eastAsia="Times New Roman" w:hAnsi="Arial" w:cs="Arial"/>
          <w:i w:val="0"/>
          <w:u w:val="single"/>
          <w:lang w:eastAsia="hr-HR"/>
        </w:rPr>
        <w:t>uvjet za mikro poduzetnike</w:t>
      </w:r>
      <w:r w:rsidR="00AE2B96" w:rsidRPr="009F09EE">
        <w:rPr>
          <w:rFonts w:ascii="Arial" w:eastAsia="Times New Roman" w:hAnsi="Arial" w:cs="Arial"/>
          <w:i w:val="0"/>
          <w:lang w:eastAsia="hr-HR"/>
        </w:rPr>
        <w:t>;</w:t>
      </w:r>
      <w:r w:rsidRPr="009F09EE">
        <w:rPr>
          <w:rFonts w:ascii="Arial" w:eastAsia="Times New Roman" w:hAnsi="Arial" w:cs="Arial"/>
          <w:i w:val="0"/>
          <w:lang w:eastAsia="hr-HR"/>
        </w:rPr>
        <w:t xml:space="preserve"> </w:t>
      </w:r>
    </w:p>
    <w:p w:rsidR="00AD5B45" w:rsidRPr="009F09EE" w:rsidRDefault="00AD5B45" w:rsidP="00AE2B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9F09EE">
        <w:rPr>
          <w:rFonts w:ascii="Arial" w:eastAsia="Times New Roman" w:hAnsi="Arial" w:cs="Arial"/>
          <w:i w:val="0"/>
          <w:lang w:eastAsia="hr-HR"/>
        </w:rPr>
        <w:t>150.000</w:t>
      </w:r>
      <w:r w:rsidR="00AE2B96" w:rsidRPr="009F09EE">
        <w:rPr>
          <w:rFonts w:ascii="Arial" w:eastAsia="Times New Roman" w:hAnsi="Arial" w:cs="Arial"/>
          <w:i w:val="0"/>
          <w:lang w:eastAsia="hr-HR"/>
        </w:rPr>
        <w:t xml:space="preserve"> </w:t>
      </w:r>
      <w:r w:rsidRPr="009F09EE">
        <w:rPr>
          <w:rFonts w:ascii="Arial" w:eastAsia="Times New Roman" w:hAnsi="Arial" w:cs="Arial"/>
          <w:i w:val="0"/>
          <w:lang w:eastAsia="hr-HR"/>
        </w:rPr>
        <w:t>€ i uz otvaranje najmanje 5 novih radnih mjesta</w:t>
      </w:r>
      <w:r w:rsidR="00AE2B96" w:rsidRPr="009F09EE">
        <w:rPr>
          <w:rFonts w:ascii="Arial" w:eastAsia="Times New Roman" w:hAnsi="Arial" w:cs="Arial"/>
          <w:i w:val="0"/>
          <w:lang w:eastAsia="hr-HR"/>
        </w:rPr>
        <w:t xml:space="preserve"> – </w:t>
      </w:r>
      <w:r w:rsidR="00AE2B96" w:rsidRPr="009F09EE">
        <w:rPr>
          <w:rFonts w:ascii="Arial" w:eastAsia="Times New Roman" w:hAnsi="Arial" w:cs="Arial"/>
          <w:i w:val="0"/>
          <w:u w:val="single"/>
          <w:lang w:eastAsia="hr-HR"/>
        </w:rPr>
        <w:t>uvjet za male, srednje i velike poduzetnike</w:t>
      </w:r>
      <w:r w:rsidR="00AE2B96" w:rsidRPr="009F09EE">
        <w:rPr>
          <w:rFonts w:ascii="Arial" w:eastAsia="Times New Roman" w:hAnsi="Arial" w:cs="Arial"/>
          <w:i w:val="0"/>
          <w:lang w:eastAsia="hr-HR"/>
        </w:rPr>
        <w:t>;</w:t>
      </w:r>
    </w:p>
    <w:p w:rsidR="00AD5B45" w:rsidRPr="009F09EE" w:rsidRDefault="00AD5B45" w:rsidP="00AE2B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9F09EE">
        <w:rPr>
          <w:rFonts w:ascii="Arial" w:eastAsia="Times New Roman" w:hAnsi="Arial" w:cs="Arial"/>
          <w:i w:val="0"/>
          <w:lang w:eastAsia="hr-HR"/>
        </w:rPr>
        <w:t>50.000 € i uz uvjet otvaranja najmanje</w:t>
      </w:r>
      <w:r w:rsidR="00AE2B96" w:rsidRPr="009F09EE">
        <w:rPr>
          <w:rFonts w:ascii="Arial" w:eastAsia="Times New Roman" w:hAnsi="Arial" w:cs="Arial"/>
          <w:i w:val="0"/>
          <w:lang w:eastAsia="hr-HR"/>
        </w:rPr>
        <w:t xml:space="preserve"> </w:t>
      </w:r>
      <w:r w:rsidRPr="009F09EE">
        <w:rPr>
          <w:rFonts w:ascii="Arial" w:eastAsia="Times New Roman" w:hAnsi="Arial" w:cs="Arial"/>
          <w:i w:val="0"/>
          <w:lang w:eastAsia="hr-HR"/>
        </w:rPr>
        <w:t xml:space="preserve">10 novih radnih mjesta </w:t>
      </w:r>
      <w:r w:rsidRPr="009F09EE">
        <w:rPr>
          <w:rFonts w:ascii="Arial" w:eastAsia="Times New Roman" w:hAnsi="Arial" w:cs="Arial"/>
          <w:i w:val="0"/>
          <w:u w:val="single"/>
          <w:lang w:eastAsia="hr-HR"/>
        </w:rPr>
        <w:t>za centre za razvoj informacijsko</w:t>
      </w:r>
      <w:r w:rsidR="00AE2B96" w:rsidRPr="009F09EE">
        <w:rPr>
          <w:rFonts w:ascii="Arial" w:eastAsia="Times New Roman" w:hAnsi="Arial" w:cs="Arial"/>
          <w:i w:val="0"/>
          <w:u w:val="single"/>
          <w:lang w:eastAsia="hr-HR"/>
        </w:rPr>
        <w:t xml:space="preserve"> </w:t>
      </w:r>
      <w:r w:rsidRPr="009F09EE">
        <w:rPr>
          <w:rFonts w:ascii="Arial" w:eastAsia="Times New Roman" w:hAnsi="Arial" w:cs="Arial"/>
          <w:i w:val="0"/>
          <w:u w:val="single"/>
          <w:lang w:eastAsia="hr-HR"/>
        </w:rPr>
        <w:t>-</w:t>
      </w:r>
      <w:r w:rsidR="00AE2B96" w:rsidRPr="009F09EE">
        <w:rPr>
          <w:rFonts w:ascii="Arial" w:eastAsia="Times New Roman" w:hAnsi="Arial" w:cs="Arial"/>
          <w:i w:val="0"/>
          <w:u w:val="single"/>
          <w:lang w:eastAsia="hr-HR"/>
        </w:rPr>
        <w:t xml:space="preserve"> </w:t>
      </w:r>
      <w:r w:rsidRPr="009F09EE">
        <w:rPr>
          <w:rFonts w:ascii="Arial" w:eastAsia="Times New Roman" w:hAnsi="Arial" w:cs="Arial"/>
          <w:i w:val="0"/>
          <w:u w:val="single"/>
          <w:lang w:eastAsia="hr-HR"/>
        </w:rPr>
        <w:t>komunikacijskih sustava i softvera</w:t>
      </w:r>
      <w:r w:rsidR="00AE2B96" w:rsidRPr="009F09EE">
        <w:rPr>
          <w:rFonts w:ascii="Arial" w:eastAsia="Times New Roman" w:hAnsi="Arial" w:cs="Arial"/>
          <w:i w:val="0"/>
          <w:lang w:eastAsia="hr-HR"/>
        </w:rPr>
        <w:t>.</w:t>
      </w:r>
    </w:p>
    <w:p w:rsidR="00AD5B45" w:rsidRPr="009F09EE" w:rsidRDefault="00AE2B96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lang w:eastAsia="hr-HR"/>
        </w:rPr>
      </w:pPr>
      <w:r w:rsidRPr="009F09EE">
        <w:rPr>
          <w:rFonts w:ascii="Arial" w:eastAsia="Times New Roman" w:hAnsi="Arial" w:cs="Arial"/>
          <w:i w:val="0"/>
          <w:lang w:eastAsia="hr-HR"/>
        </w:rPr>
        <w:t>U nastavku je dana k</w:t>
      </w:r>
      <w:r w:rsidR="00AD5B45" w:rsidRPr="009F09EE">
        <w:rPr>
          <w:rFonts w:ascii="Arial" w:eastAsia="Times New Roman" w:hAnsi="Arial" w:cs="Arial"/>
          <w:i w:val="0"/>
          <w:lang w:eastAsia="hr-HR"/>
        </w:rPr>
        <w:t>lasifikacija poduzetnika sukladno Prilogu I. Uredbe Komisije (EU) br. 651/2014 od 17. lipnja 2014.</w:t>
      </w:r>
      <w:r w:rsidRPr="009F09EE">
        <w:rPr>
          <w:rFonts w:ascii="Arial" w:eastAsia="Times New Roman" w:hAnsi="Arial" w:cs="Arial"/>
          <w:i w:val="0"/>
          <w:lang w:eastAsia="hr-HR"/>
        </w:rPr>
        <w:t xml:space="preserve"> uz napomenu da kod klasifikacije poduzetnika treba uzeti u obzir i s poduzetnikom povezana i partnerska društva.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1421"/>
        <w:gridCol w:w="1410"/>
        <w:gridCol w:w="231"/>
        <w:gridCol w:w="1316"/>
      </w:tblGrid>
      <w:tr w:rsidR="00AD5B45" w:rsidRPr="009F09EE" w:rsidTr="00AE2B96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lastRenderedPageBreak/>
              <w:t>Kategorija poduzetnika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Godišnji prihod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ili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Ukupna aktiva</w:t>
            </w:r>
          </w:p>
        </w:tc>
      </w:tr>
      <w:tr w:rsidR="00AD5B45" w:rsidRPr="009F09EE" w:rsidTr="00AE2B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≥ 250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&gt; 50 milijuna €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&gt; 43 milijuna €</w:t>
            </w:r>
          </w:p>
        </w:tc>
      </w:tr>
      <w:tr w:rsidR="00AD5B45" w:rsidRPr="009F09EE" w:rsidTr="00AE2B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Srednji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&lt; 250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≤ 50 milijuna €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≤ 43 milijuna €</w:t>
            </w:r>
          </w:p>
        </w:tc>
      </w:tr>
      <w:tr w:rsidR="00AD5B45" w:rsidRPr="009F09EE" w:rsidTr="00AE2B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&lt; 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≤ 10 milijuna €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≤ 10 milijuna €</w:t>
            </w:r>
          </w:p>
        </w:tc>
      </w:tr>
      <w:tr w:rsidR="00AD5B45" w:rsidRPr="009F09EE" w:rsidTr="00AE2B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Mikro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&lt; 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≤ 2 milijuna €</w:t>
            </w:r>
          </w:p>
        </w:tc>
        <w:tc>
          <w:tcPr>
            <w:tcW w:w="0" w:type="auto"/>
            <w:vAlign w:val="center"/>
            <w:hideMark/>
          </w:tcPr>
          <w:p w:rsidR="00AD5B45" w:rsidRPr="009F09EE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9F09EE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≤ 2 milijuna €</w:t>
            </w:r>
          </w:p>
        </w:tc>
      </w:tr>
    </w:tbl>
    <w:p w:rsidR="00AD5B45" w:rsidRPr="009F09EE" w:rsidRDefault="00AD5B45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lang w:eastAsia="hr-HR"/>
        </w:rPr>
      </w:pP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Što ulazi u opravdane troškove investicije</w:t>
      </w:r>
      <w:r w:rsidR="00AE2B96" w:rsidRPr="009F09EE">
        <w:rPr>
          <w:rFonts w:ascii="Arial" w:eastAsia="Times New Roman" w:hAnsi="Arial" w:cs="Arial"/>
          <w:lang w:eastAsia="hr-HR"/>
        </w:rPr>
        <w:t xml:space="preserve"> te koji su ostali uvjeti</w:t>
      </w:r>
      <w:r w:rsidRPr="009F09EE">
        <w:rPr>
          <w:rFonts w:ascii="Arial" w:eastAsia="Times New Roman" w:hAnsi="Arial" w:cs="Arial"/>
          <w:lang w:eastAsia="hr-HR"/>
        </w:rPr>
        <w:t>?</w:t>
      </w:r>
    </w:p>
    <w:p w:rsidR="00AD5B45" w:rsidRPr="00723E4C" w:rsidRDefault="00AD5B45" w:rsidP="00AE2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Opravdani troškovi investicije su:</w:t>
      </w:r>
    </w:p>
    <w:p w:rsidR="00AD5B45" w:rsidRPr="00723E4C" w:rsidRDefault="00AD5B45" w:rsidP="00723E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materijalna (vrijednost nekretnina/zgrada i opreme/strojeva) te nematerijalna imovina (prava na patente, licence, know-how), ili</w:t>
      </w:r>
    </w:p>
    <w:p w:rsidR="00AD5B45" w:rsidRPr="00723E4C" w:rsidRDefault="00AD5B45" w:rsidP="00723E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2 godine bruto plaće</w:t>
      </w:r>
      <w:r w:rsidR="00723E4C">
        <w:rPr>
          <w:rFonts w:ascii="Arial" w:eastAsia="Times New Roman" w:hAnsi="Arial" w:cs="Arial"/>
          <w:i w:val="0"/>
          <w:lang w:eastAsia="hr-HR"/>
        </w:rPr>
        <w:t>.</w:t>
      </w:r>
    </w:p>
    <w:p w:rsidR="00AD5B45" w:rsidRPr="00723E4C" w:rsidRDefault="00AD5B45" w:rsidP="00AE2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 xml:space="preserve">Potpora za početnu investiciju se izračunava kao postotak vrijednosti investicije, a koja se utvrđuje na temelju opravdanih troškova investicije. </w:t>
      </w:r>
      <w:bookmarkStart w:id="0" w:name="_GoBack"/>
      <w:bookmarkEnd w:id="0"/>
    </w:p>
    <w:p w:rsidR="00AD5B45" w:rsidRPr="00723E4C" w:rsidRDefault="00AD5B45" w:rsidP="00AE2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 xml:space="preserve">Minimalno razdoblje očuvanja investicije i otvorenih novih radnih mjesta povezanih s ulaganjem je 5 godina za velike poduzetnike, a 3 godine za male i srednje poduzetnike, </w:t>
      </w:r>
      <w:r w:rsidR="00723E4C">
        <w:rPr>
          <w:rFonts w:ascii="Arial" w:eastAsia="Times New Roman" w:hAnsi="Arial" w:cs="Arial"/>
          <w:i w:val="0"/>
          <w:lang w:eastAsia="hr-HR"/>
        </w:rPr>
        <w:t>no pri tome</w:t>
      </w:r>
      <w:r w:rsidRPr="00723E4C">
        <w:rPr>
          <w:rFonts w:ascii="Arial" w:eastAsia="Times New Roman" w:hAnsi="Arial" w:cs="Arial"/>
          <w:i w:val="0"/>
          <w:lang w:eastAsia="hr-HR"/>
        </w:rPr>
        <w:t xml:space="preserve"> ne može biti kraće od razdoblja korištenja poticajnih mjera.</w:t>
      </w:r>
    </w:p>
    <w:p w:rsidR="00AD5B45" w:rsidRPr="00723E4C" w:rsidRDefault="00AD5B45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 w:val="0"/>
          <w:lang w:eastAsia="hr-HR"/>
        </w:rPr>
      </w:pP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b w:val="0"/>
          <w:bCs w:val="0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Koje su olakšice poduzetniku za investiciju kroz porezni poticaj?</w:t>
      </w:r>
    </w:p>
    <w:p w:rsidR="00D65D25" w:rsidRPr="00723E4C" w:rsidRDefault="00D65D25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Porezne potpore ovise o iznosu investicije, broju novozaposlenih, a odnose se na umanjenje stope poreza na dobit</w:t>
      </w:r>
      <w:r w:rsidR="001A7E58" w:rsidRPr="00723E4C">
        <w:rPr>
          <w:rFonts w:ascii="Arial" w:eastAsia="Times New Roman" w:hAnsi="Arial" w:cs="Arial"/>
          <w:i w:val="0"/>
          <w:lang w:eastAsia="hr-HR"/>
        </w:rPr>
        <w:t xml:space="preserve"> kroz određeno razdoblje, a sve kako je prikazano u nastavku</w:t>
      </w:r>
      <w:r w:rsidRPr="00723E4C">
        <w:rPr>
          <w:rFonts w:ascii="Arial" w:eastAsia="Times New Roman" w:hAnsi="Arial" w:cs="Arial"/>
          <w:i w:val="0"/>
          <w:lang w:eastAsia="hr-HR"/>
        </w:rPr>
        <w:t>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097"/>
        <w:gridCol w:w="2420"/>
        <w:gridCol w:w="1685"/>
        <w:gridCol w:w="1266"/>
      </w:tblGrid>
      <w:tr w:rsidR="00AD5B45" w:rsidRPr="00723E4C" w:rsidTr="00D65D25">
        <w:trPr>
          <w:tblHeader/>
          <w:tblCellSpacing w:w="15" w:type="dxa"/>
        </w:trPr>
        <w:tc>
          <w:tcPr>
            <w:tcW w:w="1097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Iznos investicije (€ mil.)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Broj novozaposlenih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Razdoblje očuvanja novih radnih mjesta (godine)</w:t>
            </w:r>
          </w:p>
        </w:tc>
        <w:tc>
          <w:tcPr>
            <w:tcW w:w="859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Umanjenje stope poreza na dobit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Razdoblje (godine)</w:t>
            </w:r>
          </w:p>
        </w:tc>
      </w:tr>
      <w:tr w:rsidR="00AD5B45" w:rsidRPr="00723E4C" w:rsidTr="00D65D25">
        <w:trPr>
          <w:tblCellSpacing w:w="15" w:type="dxa"/>
        </w:trPr>
        <w:tc>
          <w:tcPr>
            <w:tcW w:w="1097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0,15 -1</w:t>
            </w:r>
            <w:r w:rsidR="006D30BA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 xml:space="preserve"> mil. EUR</w:t>
            </w: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 xml:space="preserve"> (0,05-1 za mikro i za centre</w:t>
            </w: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br/>
              <w:t>za razvoj informacijsko-komunikacijskih sustava i softvera)</w:t>
            </w:r>
          </w:p>
        </w:tc>
        <w:tc>
          <w:tcPr>
            <w:tcW w:w="1072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5</w:t>
            </w:r>
            <w:r w:rsidR="006D30BA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 xml:space="preserve"> </w:t>
            </w: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(3 za mikro, 10 za centre</w:t>
            </w: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br/>
              <w:t>za razvoj informacijsko-komunikacijskih sustava i softvera)</w:t>
            </w:r>
          </w:p>
        </w:tc>
        <w:tc>
          <w:tcPr>
            <w:tcW w:w="1240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3 (SME), 5 (veliki)</w:t>
            </w:r>
          </w:p>
        </w:tc>
        <w:tc>
          <w:tcPr>
            <w:tcW w:w="859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50%</w:t>
            </w:r>
          </w:p>
        </w:tc>
        <w:tc>
          <w:tcPr>
            <w:tcW w:w="633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 (5 za mikro)</w:t>
            </w:r>
          </w:p>
        </w:tc>
      </w:tr>
      <w:tr w:rsidR="00AD5B45" w:rsidRPr="00723E4C" w:rsidTr="00D65D25">
        <w:trPr>
          <w:tblCellSpacing w:w="15" w:type="dxa"/>
        </w:trPr>
        <w:tc>
          <w:tcPr>
            <w:tcW w:w="1097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1-3</w:t>
            </w:r>
            <w:r w:rsidR="006D30BA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 xml:space="preserve"> mil. EUR</w:t>
            </w:r>
          </w:p>
        </w:tc>
        <w:tc>
          <w:tcPr>
            <w:tcW w:w="1072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240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3 (SME), 5 (veliki)</w:t>
            </w:r>
          </w:p>
        </w:tc>
        <w:tc>
          <w:tcPr>
            <w:tcW w:w="859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75%</w:t>
            </w:r>
          </w:p>
        </w:tc>
        <w:tc>
          <w:tcPr>
            <w:tcW w:w="633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</w:t>
            </w:r>
          </w:p>
        </w:tc>
      </w:tr>
      <w:tr w:rsidR="00AD5B45" w:rsidRPr="00723E4C" w:rsidTr="00D65D25">
        <w:trPr>
          <w:tblCellSpacing w:w="15" w:type="dxa"/>
        </w:trPr>
        <w:tc>
          <w:tcPr>
            <w:tcW w:w="1097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&gt;3</w:t>
            </w:r>
            <w:r w:rsidR="006D30BA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 xml:space="preserve"> mil. EUR</w:t>
            </w:r>
          </w:p>
        </w:tc>
        <w:tc>
          <w:tcPr>
            <w:tcW w:w="1072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240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3 (SME), 5 (veliki)</w:t>
            </w:r>
          </w:p>
        </w:tc>
        <w:tc>
          <w:tcPr>
            <w:tcW w:w="859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633" w:type="pct"/>
            <w:vAlign w:val="center"/>
            <w:hideMark/>
          </w:tcPr>
          <w:p w:rsidR="00AD5B45" w:rsidRPr="00723E4C" w:rsidRDefault="00AD5B45" w:rsidP="006D30BA">
            <w:pPr>
              <w:spacing w:after="0" w:line="240" w:lineRule="auto"/>
              <w:jc w:val="right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</w:t>
            </w:r>
          </w:p>
        </w:tc>
      </w:tr>
    </w:tbl>
    <w:p w:rsidR="00AD5B45" w:rsidRPr="00723E4C" w:rsidRDefault="00AD5B45" w:rsidP="00AD5B45">
      <w:pPr>
        <w:spacing w:after="0" w:line="240" w:lineRule="auto"/>
        <w:rPr>
          <w:rFonts w:ascii="Arial" w:eastAsia="Times New Roman" w:hAnsi="Arial" w:cs="Arial"/>
          <w:b/>
          <w:bCs/>
          <w:i w:val="0"/>
          <w:lang w:eastAsia="hr-HR"/>
        </w:rPr>
      </w:pPr>
    </w:p>
    <w:p w:rsidR="001A7E58" w:rsidRPr="009F09EE" w:rsidRDefault="001A7E58" w:rsidP="00AD5B45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Koji su poticaji za otvaranje novih radnih mjesta povezanih s investicijskim projektom?</w:t>
      </w:r>
    </w:p>
    <w:p w:rsidR="00AD5B45" w:rsidRPr="00723E4C" w:rsidRDefault="0048649C" w:rsidP="004864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 xml:space="preserve">Korisniku potpore koji osigura otvaranje novih radnih mjesta povezanih s projektom ulaganja u županijama ovisno o registriranoj stopi nezaposlenosti, prema podacima </w:t>
      </w:r>
      <w:r w:rsidRPr="006D30BA">
        <w:rPr>
          <w:rFonts w:ascii="Arial" w:eastAsia="Times New Roman" w:hAnsi="Arial" w:cs="Arial"/>
          <w:lang w:eastAsia="hr-HR"/>
        </w:rPr>
        <w:t>Državnog zavoda za statistiku</w:t>
      </w:r>
      <w:r w:rsidRPr="00723E4C">
        <w:rPr>
          <w:rFonts w:ascii="Arial" w:eastAsia="Times New Roman" w:hAnsi="Arial" w:cs="Arial"/>
          <w:i w:val="0"/>
          <w:lang w:eastAsia="hr-HR"/>
        </w:rPr>
        <w:t xml:space="preserve"> za proteklu godinu, odobravaju se bespovratna novčana potpora za opravdane troškove otvaranja novih radnih mjesta u određenom postotku prihvatljivih troškova za otvaranje novog radnog mjesta, kao što je prikazano u nastavku.</w:t>
      </w:r>
    </w:p>
    <w:tbl>
      <w:tblPr>
        <w:tblW w:w="878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850"/>
        <w:gridCol w:w="1723"/>
        <w:gridCol w:w="2436"/>
      </w:tblGrid>
      <w:tr w:rsidR="00AD5B45" w:rsidRPr="00723E4C" w:rsidTr="00146646">
        <w:trPr>
          <w:trHeight w:val="1136"/>
          <w:tblHeader/>
          <w:tblCellSpacing w:w="15" w:type="dxa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Stopa nezaposlenosti po županijama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Poticajne mjere za opravdane troškove otvaranja novih radnih mjesta*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Poticajne mjere za razvojno inovacijske aktivnosti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Poticajne mjere za aktivnosti poslovne podrške i aktivnosti usluga visoke dodane vrijednosti</w:t>
            </w:r>
          </w:p>
        </w:tc>
      </w:tr>
      <w:tr w:rsidR="00AD5B45" w:rsidRPr="00723E4C" w:rsidTr="00146646">
        <w:trPr>
          <w:trHeight w:val="1155"/>
          <w:tblHeader/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&lt;10%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10% (max. 3,000 €) za zapošljavanje grupa osoba propisanih člankom 9. stavkom 3. Uredbe o poticanju ulaganja*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+50% (1,500 €)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+25% (750 €)</w:t>
            </w:r>
          </w:p>
        </w:tc>
      </w:tr>
      <w:tr w:rsidR="00AD5B45" w:rsidRPr="00723E4C" w:rsidTr="00146646">
        <w:trPr>
          <w:trHeight w:val="489"/>
          <w:tblHeader/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shd w:val="clear" w:color="auto" w:fill="FFFFFF"/>
                <w:lang w:eastAsia="hr-HR"/>
              </w:rPr>
              <w:t>4% (max. 1,200 €) za zapošljavanje ostalih osoba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shd w:val="clear" w:color="auto" w:fill="FFFFFF"/>
                <w:lang w:eastAsia="hr-HR"/>
              </w:rPr>
              <w:t>+50% (600 €)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shd w:val="clear" w:color="auto" w:fill="FFFFFF"/>
                <w:lang w:eastAsia="hr-HR"/>
              </w:rPr>
              <w:t>+25% (300 €)</w:t>
            </w:r>
          </w:p>
        </w:tc>
      </w:tr>
      <w:tr w:rsidR="00AD5B45" w:rsidRPr="00723E4C" w:rsidTr="00146646">
        <w:trPr>
          <w:trHeight w:val="1165"/>
          <w:tblHeader/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10-20%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20% (max. 6,000 €) za zapošljavanje grupa osoba propisanih člankom 9. stavkom 3. Uredbe o poticanju ulaganja*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+50% (3,000 €)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+25% (1,500 €)</w:t>
            </w:r>
          </w:p>
        </w:tc>
      </w:tr>
      <w:tr w:rsidR="00AD5B45" w:rsidRPr="00723E4C" w:rsidTr="00146646">
        <w:trPr>
          <w:trHeight w:val="479"/>
          <w:tblHeader/>
          <w:tblCellSpacing w:w="15" w:type="dxa"/>
          <w:jc w:val="center"/>
        </w:trPr>
        <w:tc>
          <w:tcPr>
            <w:tcW w:w="0" w:type="auto"/>
            <w:vMerge/>
            <w:shd w:val="clear" w:color="auto" w:fill="F5F2F2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8% (max. 2,400 €) za zapošljavanje ostalih osoba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+50% (1,200 €)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+25% (600 €)</w:t>
            </w:r>
          </w:p>
        </w:tc>
      </w:tr>
      <w:tr w:rsidR="00AD5B45" w:rsidRPr="00723E4C" w:rsidTr="00146646">
        <w:trPr>
          <w:trHeight w:val="1165"/>
          <w:tblHeader/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&gt;20%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do 30% (max. 9,000 €) za zapošljavanje grupa osoba propisanih člankom 9. stavkom 3. Uredbe o poticanju ulaganja*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+50% (4,500 €)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+25% (2,250 €)</w:t>
            </w:r>
          </w:p>
        </w:tc>
      </w:tr>
      <w:tr w:rsidR="00AD5B45" w:rsidRPr="00723E4C" w:rsidTr="00146646">
        <w:trPr>
          <w:trHeight w:val="79"/>
          <w:tblHeader/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12% (max. 3,600 €)  za zapošljavanje ostalih osoba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+50 % (1,800 €)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5B45" w:rsidRPr="00723E4C" w:rsidRDefault="00AD5B45" w:rsidP="004864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+25% (900 €)</w:t>
            </w:r>
          </w:p>
        </w:tc>
      </w:tr>
    </w:tbl>
    <w:p w:rsidR="00AD5B45" w:rsidRPr="00723E4C" w:rsidRDefault="00AD5B45" w:rsidP="004864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sz w:val="16"/>
          <w:szCs w:val="16"/>
          <w:lang w:eastAsia="hr-HR"/>
        </w:rPr>
      </w:pPr>
      <w:r w:rsidRPr="00723E4C">
        <w:rPr>
          <w:rFonts w:ascii="Arial" w:eastAsia="Times New Roman" w:hAnsi="Arial" w:cs="Arial"/>
          <w:i w:val="0"/>
          <w:sz w:val="16"/>
          <w:szCs w:val="16"/>
          <w:lang w:eastAsia="hr-HR"/>
        </w:rPr>
        <w:t>* za osobe prijavljene u evidenciju nezaposlenih najmanje 6 mjeseci, bez obzira na radni staž i razinu obrazovanja, osobe starije od 50 godina prijavljene u evidenciju nezaposlenih i osobe bez radnog staža prijavljene u evidenciji nezaposlenih Hrvatskog zavoda za zapošljavanje. Za zapošljavanje drugih kategorija radnika odobrit će se 40% iznosa potpore (Uredba o poticanju ulaganja, NN 31/16, 2/19).</w:t>
      </w: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b w:val="0"/>
          <w:bCs w:val="0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Za koje investicije se može reći da su razvojno-inovacijske?</w:t>
      </w:r>
    </w:p>
    <w:p w:rsidR="00AD5B45" w:rsidRPr="00723E4C" w:rsidRDefault="00AD5B45" w:rsidP="00B91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b/>
          <w:bCs/>
          <w:i w:val="0"/>
          <w:lang w:eastAsia="hr-HR"/>
        </w:rPr>
        <w:t>Razvojno inovacijske aktivnosti</w:t>
      </w:r>
      <w:r w:rsidRPr="00723E4C">
        <w:rPr>
          <w:rFonts w:ascii="Arial" w:eastAsia="Times New Roman" w:hAnsi="Arial" w:cs="Arial"/>
          <w:i w:val="0"/>
          <w:lang w:eastAsia="hr-HR"/>
        </w:rPr>
        <w:t> </w:t>
      </w:r>
      <w:r w:rsidR="0048649C" w:rsidRPr="00723E4C">
        <w:rPr>
          <w:rFonts w:ascii="Arial" w:eastAsia="Times New Roman" w:hAnsi="Arial" w:cs="Arial"/>
          <w:i w:val="0"/>
          <w:lang w:eastAsia="hr-HR"/>
        </w:rPr>
        <w:t xml:space="preserve">su one </w:t>
      </w:r>
      <w:r w:rsidRPr="00723E4C">
        <w:rPr>
          <w:rFonts w:ascii="Arial" w:eastAsia="Times New Roman" w:hAnsi="Arial" w:cs="Arial"/>
          <w:i w:val="0"/>
          <w:lang w:eastAsia="hr-HR"/>
        </w:rPr>
        <w:t>koje utječu na razvoj novih i znatno unapređenje postojećih proizvoda, proizvodnih serija i procesa te proizvodnih tehnologija.</w:t>
      </w:r>
      <w:r w:rsidR="0048649C" w:rsidRPr="00723E4C">
        <w:rPr>
          <w:rFonts w:ascii="Arial" w:eastAsia="Times New Roman" w:hAnsi="Arial" w:cs="Arial"/>
          <w:i w:val="0"/>
          <w:lang w:eastAsia="hr-HR"/>
        </w:rPr>
        <w:t xml:space="preserve"> </w:t>
      </w:r>
    </w:p>
    <w:p w:rsidR="00AD5B45" w:rsidRPr="00723E4C" w:rsidRDefault="00AD5B45" w:rsidP="00D730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 </w:t>
      </w:r>
      <w:r w:rsidRPr="00723E4C">
        <w:rPr>
          <w:rFonts w:ascii="Arial" w:eastAsia="Times New Roman" w:hAnsi="Arial" w:cs="Arial"/>
          <w:b/>
          <w:bCs/>
          <w:i w:val="0"/>
          <w:lang w:eastAsia="hr-HR"/>
        </w:rPr>
        <w:t>Za investicije u tehnološke razvojno-inovacijske aktivnosti</w:t>
      </w:r>
      <w:r w:rsidRPr="00723E4C">
        <w:rPr>
          <w:rFonts w:ascii="Arial" w:eastAsia="Times New Roman" w:hAnsi="Arial" w:cs="Arial"/>
          <w:i w:val="0"/>
          <w:lang w:eastAsia="hr-HR"/>
        </w:rPr>
        <w:t>, odobrit će se bespovratna novčana potpora za kupnju opreme/strojeva u visini do 20% stvarnih opravdanih troškova kupnje opreme/strojeva, a u maksimalnom iznosu protuvrijednosti kuna do 0,5 milijuna eura, uz uvjet da kupljena oprema/strojevi mora biti visoke tehnologije.</w:t>
      </w:r>
    </w:p>
    <w:p w:rsidR="00B915BF" w:rsidRPr="00723E4C" w:rsidRDefault="00B915BF" w:rsidP="00D730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b w:val="0"/>
          <w:bCs w:val="0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Koji su opravdani troškovi u svrhu usavršavanja za nova radna mjesta povezanih s investicijskim ciklusom?</w:t>
      </w:r>
    </w:p>
    <w:p w:rsidR="00B915BF" w:rsidRPr="00723E4C" w:rsidRDefault="00B915BF" w:rsidP="00B91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Korisniku potpore odobrit će se bespovratna novčana potpora za usavršavanje radnika na novim radnim mjestima povezanim s projektom ulaganja. Potpore se ne dodjeljuju za usavršavanje koje poduzetnici provode radi osiguravanja sukladnosti s obveznim nacionalnim normama o usavršavanju. Bespovratna novčana potpora za troškove usavršavanja povezanih s projektom ulaganja dodjeljuju se sukladno pravilima o državnim potporama za usavršavanje.</w:t>
      </w:r>
    </w:p>
    <w:p w:rsidR="00AD5B45" w:rsidRDefault="00B915BF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Potpora n</w:t>
      </w:r>
      <w:r w:rsidR="00AD5B45" w:rsidRPr="00723E4C">
        <w:rPr>
          <w:rFonts w:ascii="Arial" w:eastAsia="Times New Roman" w:hAnsi="Arial" w:cs="Arial"/>
          <w:i w:val="0"/>
          <w:lang w:eastAsia="hr-HR"/>
        </w:rPr>
        <w:t>e može prelaziti maksimalne intenzitete kako slijedi:</w:t>
      </w:r>
    </w:p>
    <w:p w:rsidR="006D30BA" w:rsidRPr="00723E4C" w:rsidRDefault="006D30BA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lang w:eastAsia="hr-HR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423"/>
        <w:gridCol w:w="2233"/>
        <w:gridCol w:w="2534"/>
      </w:tblGrid>
      <w:tr w:rsidR="00AD5B45" w:rsidRPr="00723E4C" w:rsidTr="005273B6">
        <w:trPr>
          <w:tblCellSpacing w:w="15" w:type="dxa"/>
        </w:trPr>
        <w:tc>
          <w:tcPr>
            <w:tcW w:w="1250" w:type="pct"/>
            <w:shd w:val="clear" w:color="auto" w:fill="F2F0F0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do 50% prihvatljivih troškova usavršavanja</w:t>
            </w:r>
          </w:p>
        </w:tc>
        <w:tc>
          <w:tcPr>
            <w:tcW w:w="1250" w:type="pct"/>
            <w:shd w:val="clear" w:color="auto" w:fill="F2F0F0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+ 10% za usavršavanje radnika s invaliditetom*</w:t>
            </w:r>
          </w:p>
        </w:tc>
        <w:tc>
          <w:tcPr>
            <w:tcW w:w="1150" w:type="pct"/>
            <w:shd w:val="clear" w:color="auto" w:fill="F2F0F0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+10% ako se potpora dodjeljuje srednjem poduzetniku*</w:t>
            </w:r>
          </w:p>
        </w:tc>
        <w:tc>
          <w:tcPr>
            <w:tcW w:w="1300" w:type="pct"/>
            <w:shd w:val="clear" w:color="auto" w:fill="F2F0F0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+20% ako se potpora dodjeljuje malom i mikro poduzetniku*</w:t>
            </w:r>
          </w:p>
        </w:tc>
      </w:tr>
    </w:tbl>
    <w:p w:rsidR="00B915BF" w:rsidRPr="00723E4C" w:rsidRDefault="00AD5B45" w:rsidP="00B915BF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sz w:val="16"/>
          <w:szCs w:val="16"/>
          <w:lang w:eastAsia="hr-HR"/>
        </w:rPr>
      </w:pPr>
      <w:r w:rsidRPr="00723E4C">
        <w:rPr>
          <w:rFonts w:ascii="Arial" w:eastAsia="Times New Roman" w:hAnsi="Arial" w:cs="Arial"/>
          <w:i w:val="0"/>
          <w:sz w:val="16"/>
          <w:szCs w:val="16"/>
          <w:lang w:eastAsia="hr-HR"/>
        </w:rPr>
        <w:t>*ne smiju premašiti 70% prihvatljivih troškova usavršavanja, niti 50% visine bespovratne novčane potpore za otvaranje novih radnih mjesta povezanih s ulaganjem</w:t>
      </w:r>
      <w:r w:rsidRPr="00723E4C">
        <w:rPr>
          <w:rFonts w:ascii="Arial" w:eastAsia="Times New Roman" w:hAnsi="Arial" w:cs="Arial"/>
          <w:i w:val="0"/>
          <w:sz w:val="16"/>
          <w:szCs w:val="16"/>
          <w:lang w:eastAsia="hr-HR"/>
        </w:rPr>
        <w:br/>
      </w:r>
    </w:p>
    <w:p w:rsidR="006D30BA" w:rsidRDefault="00AD5B45" w:rsidP="00B91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Prihvatljivi troškovi usavršavanja su</w:t>
      </w:r>
      <w:r w:rsidR="006D30BA">
        <w:rPr>
          <w:rFonts w:ascii="Arial" w:eastAsia="Times New Roman" w:hAnsi="Arial" w:cs="Arial"/>
          <w:i w:val="0"/>
          <w:lang w:eastAsia="hr-HR"/>
        </w:rPr>
        <w:t>:</w:t>
      </w:r>
    </w:p>
    <w:p w:rsidR="006D30BA" w:rsidRDefault="00AD5B45" w:rsidP="006D30BA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6D30BA">
        <w:rPr>
          <w:rFonts w:ascii="Arial" w:eastAsia="Times New Roman" w:hAnsi="Arial" w:cs="Arial"/>
          <w:b/>
          <w:bCs/>
          <w:i w:val="0"/>
          <w:lang w:eastAsia="hr-HR"/>
        </w:rPr>
        <w:t>troškovi predavača</w:t>
      </w:r>
      <w:r w:rsidRPr="006D30BA">
        <w:rPr>
          <w:rFonts w:ascii="Arial" w:eastAsia="Times New Roman" w:hAnsi="Arial" w:cs="Arial"/>
          <w:i w:val="0"/>
          <w:lang w:eastAsia="hr-HR"/>
        </w:rPr>
        <w:t xml:space="preserve">, za sate tijekom kojih su predavači sudjelovali u usavršavanju; </w:t>
      </w:r>
    </w:p>
    <w:p w:rsidR="006D30BA" w:rsidRDefault="00AD5B45" w:rsidP="006D30BA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6D30BA">
        <w:rPr>
          <w:rFonts w:ascii="Arial" w:eastAsia="Times New Roman" w:hAnsi="Arial" w:cs="Arial"/>
          <w:b/>
          <w:bCs/>
          <w:i w:val="0"/>
          <w:lang w:eastAsia="hr-HR"/>
        </w:rPr>
        <w:t>troškovi poslovanja povezani s predavačima i polaznicima</w:t>
      </w:r>
      <w:r w:rsidRPr="006D30BA">
        <w:rPr>
          <w:rFonts w:ascii="Arial" w:eastAsia="Times New Roman" w:hAnsi="Arial" w:cs="Arial"/>
          <w:i w:val="0"/>
          <w:lang w:eastAsia="hr-HR"/>
        </w:rPr>
        <w:t xml:space="preserve">, koji su izravno povezani s projektom usavršavanja, poput putnih troškova, troškova materijala i potrošne robe izravno povezanih s projektom, </w:t>
      </w:r>
    </w:p>
    <w:p w:rsidR="006D30BA" w:rsidRDefault="00AD5B45" w:rsidP="006D30BA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6D30BA">
        <w:rPr>
          <w:rFonts w:ascii="Arial" w:eastAsia="Times New Roman" w:hAnsi="Arial" w:cs="Arial"/>
          <w:b/>
          <w:bCs/>
          <w:i w:val="0"/>
          <w:lang w:eastAsia="hr-HR"/>
        </w:rPr>
        <w:t>amortizacija alata i opreme</w:t>
      </w:r>
      <w:r w:rsidRPr="006D30BA">
        <w:rPr>
          <w:rFonts w:ascii="Arial" w:eastAsia="Times New Roman" w:hAnsi="Arial" w:cs="Arial"/>
          <w:i w:val="0"/>
          <w:lang w:eastAsia="hr-HR"/>
        </w:rPr>
        <w:t xml:space="preserve">, ako se koriste isključivo za projekt usavršavanja; </w:t>
      </w:r>
    </w:p>
    <w:p w:rsidR="006D30BA" w:rsidRDefault="00AD5B45" w:rsidP="006D30BA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6D30BA">
        <w:rPr>
          <w:rFonts w:ascii="Arial" w:eastAsia="Times New Roman" w:hAnsi="Arial" w:cs="Arial"/>
          <w:b/>
          <w:bCs/>
          <w:i w:val="0"/>
          <w:lang w:eastAsia="hr-HR"/>
        </w:rPr>
        <w:t>troškovi savjetodavnih usluga</w:t>
      </w:r>
      <w:r w:rsidRPr="006D30BA">
        <w:rPr>
          <w:rFonts w:ascii="Arial" w:eastAsia="Times New Roman" w:hAnsi="Arial" w:cs="Arial"/>
          <w:i w:val="0"/>
          <w:lang w:eastAsia="hr-HR"/>
        </w:rPr>
        <w:t xml:space="preserve"> povezanih s projektom usavršavanja; troškovi osoblja polaznika usavršavanja i opći neizravni troškovi (administrativni troškovi, najam, režijski troškovi) za sate koje polaznici usavršavanja provedu u usavršavanju. Troškovi smještaja su isključeni. </w:t>
      </w:r>
    </w:p>
    <w:p w:rsidR="006D30BA" w:rsidRDefault="00AD5B45" w:rsidP="006D30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6D30BA">
        <w:rPr>
          <w:rFonts w:ascii="Arial" w:eastAsia="Times New Roman" w:hAnsi="Arial" w:cs="Arial"/>
          <w:i w:val="0"/>
          <w:lang w:eastAsia="hr-HR"/>
        </w:rPr>
        <w:t xml:space="preserve">Potpore se </w:t>
      </w:r>
      <w:r w:rsidRPr="006D30BA">
        <w:rPr>
          <w:rFonts w:ascii="Arial" w:eastAsia="Times New Roman" w:hAnsi="Arial" w:cs="Arial"/>
          <w:b/>
          <w:i w:val="0"/>
          <w:lang w:eastAsia="hr-HR"/>
        </w:rPr>
        <w:t>ne dodjeljuju</w:t>
      </w:r>
      <w:r w:rsidRPr="006D30BA">
        <w:rPr>
          <w:rFonts w:ascii="Arial" w:eastAsia="Times New Roman" w:hAnsi="Arial" w:cs="Arial"/>
          <w:i w:val="0"/>
          <w:lang w:eastAsia="hr-HR"/>
        </w:rPr>
        <w:t xml:space="preserve"> za usavršavanje koje poduzetnici provode radi osiguravanja sukladnosti s obveznim naci</w:t>
      </w:r>
      <w:r w:rsidR="006D30BA">
        <w:rPr>
          <w:rFonts w:ascii="Arial" w:eastAsia="Times New Roman" w:hAnsi="Arial" w:cs="Arial"/>
          <w:i w:val="0"/>
          <w:lang w:eastAsia="hr-HR"/>
        </w:rPr>
        <w:t>onalnim normama o usavršavanju.</w:t>
      </w:r>
    </w:p>
    <w:p w:rsidR="00AD5B45" w:rsidRPr="006D30BA" w:rsidRDefault="00AD5B45" w:rsidP="006D30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6D30BA">
        <w:rPr>
          <w:rFonts w:ascii="Arial" w:eastAsia="Times New Roman" w:hAnsi="Arial" w:cs="Arial"/>
          <w:i w:val="0"/>
          <w:lang w:eastAsia="hr-HR"/>
        </w:rPr>
        <w:t xml:space="preserve">U slučajevima gdje potpora uključuje </w:t>
      </w:r>
      <w:r w:rsidRPr="006D30BA">
        <w:rPr>
          <w:rFonts w:ascii="Arial" w:eastAsia="Times New Roman" w:hAnsi="Arial" w:cs="Arial"/>
          <w:b/>
          <w:i w:val="0"/>
          <w:lang w:eastAsia="hr-HR"/>
        </w:rPr>
        <w:t>oba oblika usavršavanja</w:t>
      </w:r>
      <w:r w:rsidRPr="006D30BA">
        <w:rPr>
          <w:rFonts w:ascii="Arial" w:eastAsia="Times New Roman" w:hAnsi="Arial" w:cs="Arial"/>
          <w:i w:val="0"/>
          <w:lang w:eastAsia="hr-HR"/>
        </w:rPr>
        <w:t>; posebno i opće, odnosno u slučajevima gdje se ne može razdvojiti poseban i opći karakter usavršavanja, primjenjivat će se obračun maksimalnog intenziteta za posebno usavršavanje.</w:t>
      </w: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Tko može aplicirati na poticajne mjere za kapitalne investicijske projekte? </w:t>
      </w:r>
    </w:p>
    <w:p w:rsidR="00AD5B45" w:rsidRPr="00723E4C" w:rsidRDefault="00AD5B45" w:rsidP="00B91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Svi oni čiji je investicijski projekt za kojeg se odobravaju poticajne mjere za kapitalne troškove investicijskog projekta predstavlja investiciju u dugotrajnu imovinu nositelja poticajnih mjera u iznosu od najmanje 5 milijuna EUR protuvrijednosti kuna uz uvjet otvaranja najmanje 50 novih radnih mjesta povezanih s investicijskim projektom, i to unutar razdoblja od tri godine nakon početka investicije</w:t>
      </w:r>
      <w:r w:rsidR="00B915BF" w:rsidRPr="00723E4C">
        <w:rPr>
          <w:rFonts w:ascii="Arial" w:eastAsia="Times New Roman" w:hAnsi="Arial" w:cs="Arial"/>
          <w:i w:val="0"/>
          <w:lang w:eastAsia="hr-HR"/>
        </w:rPr>
        <w:t>.</w:t>
      </w:r>
    </w:p>
    <w:p w:rsidR="00AD5B45" w:rsidRPr="009F09EE" w:rsidRDefault="00B915BF" w:rsidP="009F09EE">
      <w:pPr>
        <w:pStyle w:val="Naslov1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Koji su uvjeti za p</w:t>
      </w:r>
      <w:r w:rsidR="00AD5B45" w:rsidRPr="009F09EE">
        <w:rPr>
          <w:rFonts w:ascii="Arial" w:eastAsia="Times New Roman" w:hAnsi="Arial" w:cs="Arial"/>
          <w:lang w:eastAsia="hr-HR"/>
        </w:rPr>
        <w:t>oticajne mjere za kapitalne troškove investicijskog projekta</w:t>
      </w:r>
      <w:r w:rsidRPr="009F09EE">
        <w:rPr>
          <w:rFonts w:ascii="Arial" w:eastAsia="Times New Roman" w:hAnsi="Arial" w:cs="Arial"/>
          <w:lang w:eastAsia="hr-HR"/>
        </w:rPr>
        <w:t>?</w:t>
      </w:r>
    </w:p>
    <w:p w:rsidR="00AD5B45" w:rsidRPr="00723E4C" w:rsidRDefault="00AD5B45" w:rsidP="00061F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Uvjeti za ostvarivanje prava na poticajne mjere za kapitalne troškove investicijskog projekta</w:t>
      </w:r>
      <w:r w:rsidR="00061FC4" w:rsidRPr="00723E4C">
        <w:rPr>
          <w:rFonts w:ascii="Arial" w:eastAsia="Times New Roman" w:hAnsi="Arial" w:cs="Arial"/>
          <w:i w:val="0"/>
          <w:lang w:eastAsia="hr-HR"/>
        </w:rPr>
        <w:t xml:space="preserve"> su</w:t>
      </w:r>
      <w:r w:rsidRPr="00723E4C">
        <w:rPr>
          <w:rFonts w:ascii="Arial" w:eastAsia="Times New Roman" w:hAnsi="Arial" w:cs="Arial"/>
          <w:i w:val="0"/>
          <w:lang w:eastAsia="hr-HR"/>
        </w:rPr>
        <w:t xml:space="preserve"> investicija u dugotrajnu imovinu u iznosu od najmanje 5 milijuna eura uz uvjet otvaranja najmanje 50 novih radnih mjesta.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7688"/>
      </w:tblGrid>
      <w:tr w:rsidR="00AD5B45" w:rsidRPr="00723E4C" w:rsidTr="00061FC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Županijska stopa nezaposlenosti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Poticaji za kapitalne troškove</w:t>
            </w:r>
          </w:p>
        </w:tc>
      </w:tr>
      <w:tr w:rsidR="00AD5B45" w:rsidRPr="00723E4C" w:rsidTr="00061F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10-20%</w:t>
            </w:r>
          </w:p>
        </w:tc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Bespovratna novčana potpora u iznosu od 10% opravdanih troškova investicije za:</w:t>
            </w:r>
          </w:p>
          <w:p w:rsidR="00AD5B45" w:rsidRPr="00723E4C" w:rsidRDefault="00AD5B45" w:rsidP="00061F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troškove izgradnje nove tvornice, industrijskog postrojenja ili turističkog objekta,</w:t>
            </w:r>
          </w:p>
          <w:p w:rsidR="00AD5B45" w:rsidRPr="00723E4C" w:rsidRDefault="00AD5B45" w:rsidP="00061F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troškove kupnje novih strojeva, odnosno proizvodne opreme,</w:t>
            </w:r>
          </w:p>
          <w:p w:rsidR="00AD5B45" w:rsidRPr="00723E4C" w:rsidRDefault="00AD5B45" w:rsidP="00061FC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(u maksimalnom iznosu 0,5 milijuna EUR, uz uvjet da udio ulaganja u strojevima/opremi iznosi minimalno 40% od ukupne vrijednosti investicije, a minimalno 50% od kupljenih strojeva/opreme mora biti oprema visoke tehnologije)</w:t>
            </w:r>
          </w:p>
        </w:tc>
      </w:tr>
      <w:tr w:rsidR="00AD5B45" w:rsidRPr="00723E4C" w:rsidTr="00061F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&gt;20%</w:t>
            </w:r>
          </w:p>
        </w:tc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Bespovratna novčana potpora u iznosu od 20% opravdanih troškova investicije za:</w:t>
            </w:r>
          </w:p>
          <w:p w:rsidR="00AD5B45" w:rsidRPr="00723E4C" w:rsidRDefault="00AD5B45" w:rsidP="00061F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troškove izgradnje nove tvornice, industrijskog postrojenja ili turističkog objekta,</w:t>
            </w:r>
          </w:p>
          <w:p w:rsidR="00AD5B45" w:rsidRPr="00723E4C" w:rsidRDefault="00AD5B45" w:rsidP="00061F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troškove kupnje novih strojeva, odnosno proizvodne opreme,</w:t>
            </w:r>
          </w:p>
          <w:p w:rsidR="00AD5B45" w:rsidRPr="00723E4C" w:rsidRDefault="00AD5B45" w:rsidP="00061FC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(u maksimalnom iznosu 1 milijun EUR, uz uvjet da udio ulaganja u strojevima/opremi iznosi minimalno 40% od ukupne vrijednosti investicije, a minimalno 50% od kupljenih strojeva/opreme mora biti oprema visoke tehnologije)</w:t>
            </w:r>
          </w:p>
        </w:tc>
      </w:tr>
    </w:tbl>
    <w:p w:rsidR="00AD5B45" w:rsidRPr="00723E4C" w:rsidRDefault="00AD5B45" w:rsidP="009F09EE">
      <w:pPr>
        <w:pStyle w:val="Naslov1"/>
        <w:rPr>
          <w:rFonts w:ascii="Arial" w:eastAsia="Times New Roman" w:hAnsi="Arial" w:cs="Arial"/>
          <w:b w:val="0"/>
          <w:bCs w:val="0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Kad se odobravaju poticajne mjere za radno intenzivne investicijske projekte?</w:t>
      </w:r>
    </w:p>
    <w:p w:rsidR="00AD5B45" w:rsidRPr="00723E4C" w:rsidRDefault="00AD5B45" w:rsidP="00061F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Kad investicijski projekt za kojeg se odobravaju poticajne mjere za radno intenzivne investicijske projekte predstavlja investiciju u dugotrajnu imovinu nositelja poticajnih mjera koja omogućuje otvaranja najmanje 100 novih radnih mjesta povezanih s investicijskim projektom i to unutar razdoblja od tri godine nakon početka investicije.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4547"/>
      </w:tblGrid>
      <w:tr w:rsidR="00AD5B45" w:rsidRPr="00723E4C" w:rsidTr="00061FC4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Broj novootvorenih radnih mjesta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527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8"/>
                <w:szCs w:val="18"/>
                <w:lang w:eastAsia="hr-HR"/>
              </w:rPr>
              <w:t>Povećanje potpore za otvaranje novih radnih mjesta</w:t>
            </w:r>
          </w:p>
        </w:tc>
      </w:tr>
      <w:tr w:rsidR="00AD5B45" w:rsidRPr="00723E4C" w:rsidTr="00061F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100 i više</w:t>
            </w:r>
          </w:p>
        </w:tc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25%</w:t>
            </w:r>
          </w:p>
        </w:tc>
      </w:tr>
      <w:tr w:rsidR="00AD5B45" w:rsidRPr="00723E4C" w:rsidTr="00061F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300 i više</w:t>
            </w:r>
          </w:p>
        </w:tc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50%</w:t>
            </w:r>
          </w:p>
        </w:tc>
      </w:tr>
      <w:tr w:rsidR="00AD5B45" w:rsidRPr="00723E4C" w:rsidTr="00061F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500 i više</w:t>
            </w:r>
          </w:p>
        </w:tc>
        <w:tc>
          <w:tcPr>
            <w:tcW w:w="0" w:type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100%</w:t>
            </w:r>
          </w:p>
        </w:tc>
      </w:tr>
    </w:tbl>
    <w:p w:rsidR="00AD5B45" w:rsidRPr="00723E4C" w:rsidRDefault="00AD5B45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 </w:t>
      </w:r>
    </w:p>
    <w:p w:rsidR="00AD5B45" w:rsidRPr="009F09EE" w:rsidRDefault="00061FC4" w:rsidP="009F09EE">
      <w:pPr>
        <w:pStyle w:val="Naslov1"/>
        <w:rPr>
          <w:rFonts w:ascii="Arial" w:eastAsia="Times New Roman" w:hAnsi="Arial" w:cs="Arial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Kakve su to p</w:t>
      </w:r>
      <w:r w:rsidR="00AD5B45" w:rsidRPr="009F09EE">
        <w:rPr>
          <w:rFonts w:ascii="Arial" w:eastAsia="Times New Roman" w:hAnsi="Arial" w:cs="Arial"/>
          <w:lang w:eastAsia="hr-HR"/>
        </w:rPr>
        <w:t>otpore za projekte ulaganja kroz gospodarsko aktiviranje neaktivne imovine u vlasništvu Republike Hrvatske</w:t>
      </w:r>
      <w:r w:rsidRPr="009F09EE">
        <w:rPr>
          <w:rFonts w:ascii="Arial" w:eastAsia="Times New Roman" w:hAnsi="Arial" w:cs="Arial"/>
          <w:lang w:eastAsia="hr-HR"/>
        </w:rPr>
        <w:t>?</w:t>
      </w:r>
    </w:p>
    <w:p w:rsidR="00061FC4" w:rsidRPr="00723E4C" w:rsidRDefault="00061FC4" w:rsidP="00061F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Projekt ulaganja za koji se odobrava potpora za gospodarsko aktiviranje neaktivne imovine u vlasništvu Republike Hrvatske predstavlja ulaganje u dugotrajnu imovinu korisnika potpore u iznosu protuvrijednosti kuna najmanje 3.000.000 eura, uz uvjet popunjavanja najmanje 15 novih radnih mjesta povezanih s projektom ulaganja, i to unutar razdoblja od tri godine od početka ulaganja.</w:t>
      </w:r>
    </w:p>
    <w:p w:rsidR="00061FC4" w:rsidRPr="00723E4C" w:rsidRDefault="00AD5B45" w:rsidP="00061F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>Neaktivnu imovinu čini zemljište i/ili građevine u vlasništvu Republike Hrvatske kojim upravlja Ministarstvo državne imovine, a koja nije u funkciji i na kojoj se ne obavljaju nikakve gospodarske aktivnosti.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919"/>
        <w:gridCol w:w="1920"/>
        <w:gridCol w:w="1920"/>
        <w:gridCol w:w="1935"/>
      </w:tblGrid>
      <w:tr w:rsidR="00AD5B45" w:rsidRPr="00723E4C" w:rsidTr="00061FC4">
        <w:trPr>
          <w:tblCellSpacing w:w="15" w:type="dxa"/>
          <w:jc w:val="center"/>
        </w:trPr>
        <w:tc>
          <w:tcPr>
            <w:tcW w:w="1000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7E38EF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6"/>
                <w:szCs w:val="16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6"/>
                <w:szCs w:val="16"/>
                <w:lang w:eastAsia="hr-HR"/>
              </w:rPr>
              <w:t>IZNOS INVESTICIJE (€  MIL.)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7E38EF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6"/>
                <w:szCs w:val="16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6"/>
                <w:szCs w:val="16"/>
                <w:lang w:eastAsia="hr-HR"/>
              </w:rPr>
              <w:t>BROJ NOVOZAPOSLENIH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7E38EF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6"/>
                <w:szCs w:val="16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6"/>
                <w:szCs w:val="16"/>
                <w:lang w:eastAsia="hr-HR"/>
              </w:rPr>
              <w:t>OBVEZNO INVESTIRANJE U NEAKTIVNU IMOVINU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7E38EF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6"/>
                <w:szCs w:val="16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6"/>
                <w:szCs w:val="16"/>
                <w:lang w:eastAsia="hr-HR"/>
              </w:rPr>
              <w:t>POTPORA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  <w:hideMark/>
          </w:tcPr>
          <w:p w:rsidR="00AD5B45" w:rsidRPr="00723E4C" w:rsidRDefault="00AD5B45" w:rsidP="007E38EF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6"/>
                <w:szCs w:val="16"/>
                <w:lang w:eastAsia="hr-HR"/>
              </w:rPr>
            </w:pPr>
            <w:r w:rsidRPr="00723E4C">
              <w:rPr>
                <w:rFonts w:ascii="Arial" w:eastAsia="Times New Roman" w:hAnsi="Arial" w:cs="Arial"/>
                <w:b/>
                <w:bCs/>
                <w:i w:val="0"/>
                <w:sz w:val="16"/>
                <w:szCs w:val="16"/>
                <w:lang w:eastAsia="hr-HR"/>
              </w:rPr>
              <w:t>POSTUPAK DOBIVANJA ZAKUPA</w:t>
            </w:r>
          </w:p>
        </w:tc>
      </w:tr>
      <w:tr w:rsidR="00AD5B45" w:rsidRPr="00723E4C" w:rsidTr="00061FC4">
        <w:trPr>
          <w:tblCellSpacing w:w="15" w:type="dxa"/>
          <w:jc w:val="center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3</w:t>
            </w:r>
            <w:r w:rsidR="006D30BA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 xml:space="preserve"> mil. EUR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povećanje vrijednosti neaktivne imovine za 50% unutar 3 godine od davanja imovine u zakup u odnosu na procijenjenu vrijednost imovine u trenutku davanja u zakup</w:t>
            </w:r>
          </w:p>
          <w:p w:rsidR="00AD5B45" w:rsidRPr="00723E4C" w:rsidRDefault="00AD5B45" w:rsidP="00061F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besplatan zakup neaktivne imovine do 10 godina* od početka ulaganja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za ulaganje u JLS nižeg indeksa razvijenosti (I.-IV.) – bez dodatnih uvjeta</w:t>
            </w:r>
          </w:p>
        </w:tc>
      </w:tr>
      <w:tr w:rsidR="00AD5B45" w:rsidRPr="00723E4C" w:rsidTr="00061FC4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AD5B45" w:rsidRPr="00723E4C" w:rsidRDefault="00AD5B45" w:rsidP="00061FC4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</w:pPr>
            <w:r w:rsidRPr="00723E4C">
              <w:rPr>
                <w:rFonts w:ascii="Arial" w:eastAsia="Times New Roman" w:hAnsi="Arial" w:cs="Arial"/>
                <w:i w:val="0"/>
                <w:sz w:val="18"/>
                <w:szCs w:val="18"/>
                <w:lang w:eastAsia="hr-HR"/>
              </w:rPr>
              <w:t>za ulaganje u JLS višeg indeksa razvijenosti (V.-VIII.) – nakon tri kruga javnog natječaja za prodaju imovine</w:t>
            </w:r>
          </w:p>
        </w:tc>
      </w:tr>
    </w:tbl>
    <w:p w:rsidR="00AD5B45" w:rsidRPr="00723E4C" w:rsidRDefault="00AD5B45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sz w:val="18"/>
          <w:szCs w:val="18"/>
          <w:lang w:eastAsia="hr-HR"/>
        </w:rPr>
      </w:pPr>
      <w:r w:rsidRPr="00723E4C">
        <w:rPr>
          <w:rFonts w:ascii="Arial" w:eastAsia="Times New Roman" w:hAnsi="Arial" w:cs="Arial"/>
          <w:i w:val="0"/>
          <w:sz w:val="18"/>
          <w:szCs w:val="18"/>
          <w:lang w:eastAsia="hr-HR"/>
        </w:rPr>
        <w:t>*nakon isteka zakupa ili dostizanja maksimalnog intenziteta potpore, korisnik potpore može s Ministarstvom državne imovine sklopiti Ugovor o kupnji te imovine</w:t>
      </w:r>
    </w:p>
    <w:p w:rsidR="00AD5B45" w:rsidRPr="00723E4C" w:rsidRDefault="00AD5B45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lang w:eastAsia="hr-HR"/>
        </w:rPr>
      </w:pPr>
    </w:p>
    <w:p w:rsidR="00AD5B45" w:rsidRPr="009F09EE" w:rsidRDefault="00AD5B45" w:rsidP="009F09EE">
      <w:pPr>
        <w:pStyle w:val="Naslov1"/>
        <w:rPr>
          <w:rFonts w:ascii="Arial" w:eastAsia="Times New Roman" w:hAnsi="Arial" w:cs="Arial"/>
          <w:b w:val="0"/>
          <w:bCs w:val="0"/>
          <w:lang w:eastAsia="hr-HR"/>
        </w:rPr>
      </w:pPr>
      <w:r w:rsidRPr="009F09EE">
        <w:rPr>
          <w:rFonts w:ascii="Arial" w:eastAsia="Times New Roman" w:hAnsi="Arial" w:cs="Arial"/>
          <w:lang w:eastAsia="hr-HR"/>
        </w:rPr>
        <w:t>Kako aplicirati za korištenje poticajnih mjera?</w:t>
      </w:r>
    </w:p>
    <w:p w:rsidR="00AD5B45" w:rsidRPr="00723E4C" w:rsidRDefault="00AD5B45" w:rsidP="00061F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lang w:eastAsia="hr-HR"/>
        </w:rPr>
      </w:pPr>
      <w:r w:rsidRPr="00723E4C">
        <w:rPr>
          <w:rFonts w:ascii="Arial" w:eastAsia="Times New Roman" w:hAnsi="Arial" w:cs="Arial"/>
          <w:i w:val="0"/>
          <w:lang w:eastAsia="hr-HR"/>
        </w:rPr>
        <w:t xml:space="preserve">Prema proceduri prijave za korištenje poticajnih mjera temeljem </w:t>
      </w:r>
      <w:r w:rsidRPr="006D30BA">
        <w:rPr>
          <w:rFonts w:ascii="Arial" w:eastAsia="Times New Roman" w:hAnsi="Arial" w:cs="Arial"/>
          <w:lang w:eastAsia="hr-HR"/>
        </w:rPr>
        <w:t>Zakona o poticanju ulaganja</w:t>
      </w:r>
      <w:r w:rsidRPr="00723E4C">
        <w:rPr>
          <w:rFonts w:ascii="Arial" w:eastAsia="Times New Roman" w:hAnsi="Arial" w:cs="Arial"/>
          <w:i w:val="0"/>
          <w:lang w:eastAsia="hr-HR"/>
        </w:rPr>
        <w:t xml:space="preserve"> (NN 102/15, 25/18, 114/18) poduzetnik koje želi steći status nositelja poticajnih mjera dužan je podnijeti </w:t>
      </w:r>
      <w:r w:rsidRPr="00723E4C">
        <w:rPr>
          <w:rFonts w:ascii="Arial" w:eastAsia="Times New Roman" w:hAnsi="Arial" w:cs="Arial"/>
          <w:i w:val="0"/>
          <w:u w:val="single"/>
          <w:lang w:eastAsia="hr-HR"/>
        </w:rPr>
        <w:t>Prijavu za korištenje poticajnih mjera</w:t>
      </w:r>
      <w:r w:rsidRPr="00723E4C">
        <w:rPr>
          <w:rFonts w:ascii="Arial" w:eastAsia="Times New Roman" w:hAnsi="Arial" w:cs="Arial"/>
          <w:i w:val="0"/>
          <w:lang w:eastAsia="hr-HR"/>
        </w:rPr>
        <w:t xml:space="preserve"> u obliku propisanih obrazaca </w:t>
      </w:r>
      <w:r w:rsidRPr="00723E4C">
        <w:rPr>
          <w:rFonts w:ascii="Arial" w:eastAsia="Times New Roman" w:hAnsi="Arial" w:cs="Arial"/>
          <w:lang w:eastAsia="hr-HR"/>
        </w:rPr>
        <w:t>Ministarstvu gospodarstva, poduzetništva i obrta</w:t>
      </w:r>
      <w:r w:rsidR="009446F5" w:rsidRPr="00723E4C">
        <w:rPr>
          <w:rFonts w:ascii="Arial" w:eastAsia="Times New Roman" w:hAnsi="Arial" w:cs="Arial"/>
          <w:i w:val="0"/>
          <w:lang w:eastAsia="hr-HR"/>
        </w:rPr>
        <w:t xml:space="preserve"> koji su dostupni na sljedećem linku:</w:t>
      </w:r>
    </w:p>
    <w:p w:rsidR="00D65D25" w:rsidRPr="00723E4C" w:rsidRDefault="00AD1934" w:rsidP="00AD5B45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70C0"/>
          <w:lang w:eastAsia="hr-HR"/>
        </w:rPr>
      </w:pPr>
      <w:hyperlink r:id="rId5" w:history="1">
        <w:r w:rsidR="007B0C2E" w:rsidRPr="00723E4C">
          <w:rPr>
            <w:rStyle w:val="Hiperveza"/>
            <w:rFonts w:ascii="Arial" w:eastAsia="Times New Roman" w:hAnsi="Arial" w:cs="Arial"/>
            <w:i w:val="0"/>
            <w:color w:val="0070C0"/>
            <w:lang w:eastAsia="hr-HR"/>
          </w:rPr>
          <w:t>https://www.mingo.hr/page/kategorija/investicije</w:t>
        </w:r>
      </w:hyperlink>
    </w:p>
    <w:p w:rsidR="007B0C2E" w:rsidRDefault="006D30BA" w:rsidP="00AD5B45">
      <w:pPr>
        <w:spacing w:before="100" w:beforeAutospacing="1" w:after="100" w:afterAutospacing="1" w:line="240" w:lineRule="auto"/>
        <w:rPr>
          <w:rFonts w:ascii="Tahoma" w:eastAsia="Times New Roman" w:hAnsi="Tahoma" w:cs="Tahoma"/>
          <w:i w:val="0"/>
          <w:iCs w:val="0"/>
          <w:lang w:eastAsia="hr-HR"/>
        </w:rPr>
      </w:pPr>
      <w:r>
        <w:rPr>
          <w:rFonts w:ascii="Tahoma" w:eastAsia="Times New Roman" w:hAnsi="Tahoma" w:cs="Tahoma"/>
          <w:i w:val="0"/>
          <w:iCs w:val="0"/>
          <w:lang w:eastAsia="hr-HR"/>
        </w:rPr>
        <w:t>Ukoliko Vas interesira više o ovoj temi, slobodno se obratite na:</w:t>
      </w:r>
    </w:p>
    <w:p w:rsidR="006D30BA" w:rsidRDefault="006D30BA" w:rsidP="00AD5B45">
      <w:pPr>
        <w:spacing w:before="100" w:beforeAutospacing="1" w:after="100" w:afterAutospacing="1" w:line="240" w:lineRule="auto"/>
        <w:rPr>
          <w:rFonts w:ascii="Tahoma" w:eastAsia="Times New Roman" w:hAnsi="Tahoma" w:cs="Tahoma"/>
          <w:i w:val="0"/>
          <w:iCs w:val="0"/>
          <w:lang w:eastAsia="hr-HR"/>
        </w:rPr>
      </w:pPr>
      <w:r>
        <w:rPr>
          <w:rFonts w:ascii="Tahoma" w:eastAsia="Times New Roman" w:hAnsi="Tahoma" w:cs="Tahoma"/>
          <w:i w:val="0"/>
          <w:iCs w:val="0"/>
          <w:lang w:eastAsia="hr-HR"/>
        </w:rPr>
        <w:t>KOPUN Group</w:t>
      </w:r>
    </w:p>
    <w:p w:rsidR="006D30BA" w:rsidRDefault="006D30BA" w:rsidP="00AD5B45">
      <w:pPr>
        <w:spacing w:before="100" w:beforeAutospacing="1" w:after="100" w:afterAutospacing="1" w:line="240" w:lineRule="auto"/>
        <w:rPr>
          <w:rFonts w:ascii="Tahoma" w:eastAsia="Times New Roman" w:hAnsi="Tahoma" w:cs="Tahoma"/>
          <w:i w:val="0"/>
          <w:iCs w:val="0"/>
          <w:lang w:eastAsia="hr-HR"/>
        </w:rPr>
      </w:pPr>
      <w:r>
        <w:rPr>
          <w:rFonts w:ascii="Tahoma" w:eastAsia="Times New Roman" w:hAnsi="Tahoma" w:cs="Tahoma"/>
          <w:i w:val="0"/>
          <w:iCs w:val="0"/>
          <w:lang w:eastAsia="hr-HR"/>
        </w:rPr>
        <w:t>Trg žrtava fašizma 14</w:t>
      </w:r>
    </w:p>
    <w:p w:rsidR="006D30BA" w:rsidRDefault="006D30BA" w:rsidP="00AD5B45">
      <w:pPr>
        <w:spacing w:before="100" w:beforeAutospacing="1" w:after="100" w:afterAutospacing="1" w:line="240" w:lineRule="auto"/>
        <w:rPr>
          <w:rFonts w:ascii="Tahoma" w:eastAsia="Times New Roman" w:hAnsi="Tahoma" w:cs="Tahoma"/>
          <w:i w:val="0"/>
          <w:iCs w:val="0"/>
          <w:lang w:eastAsia="hr-HR"/>
        </w:rPr>
      </w:pPr>
      <w:r>
        <w:rPr>
          <w:rFonts w:ascii="Tahoma" w:eastAsia="Times New Roman" w:hAnsi="Tahoma" w:cs="Tahoma"/>
          <w:i w:val="0"/>
          <w:iCs w:val="0"/>
          <w:lang w:eastAsia="hr-HR"/>
        </w:rPr>
        <w:t>10 000 Zagreb</w:t>
      </w:r>
    </w:p>
    <w:p w:rsidR="006D30BA" w:rsidRDefault="00AD1934" w:rsidP="00AD5B45">
      <w:pPr>
        <w:spacing w:before="100" w:beforeAutospacing="1" w:after="100" w:afterAutospacing="1" w:line="240" w:lineRule="auto"/>
        <w:rPr>
          <w:rFonts w:ascii="Tahoma" w:eastAsia="Times New Roman" w:hAnsi="Tahoma" w:cs="Tahoma"/>
          <w:i w:val="0"/>
          <w:iCs w:val="0"/>
          <w:lang w:eastAsia="hr-HR"/>
        </w:rPr>
      </w:pPr>
      <w:hyperlink r:id="rId6" w:history="1">
        <w:r w:rsidR="006D30BA" w:rsidRPr="00F7795E">
          <w:rPr>
            <w:rStyle w:val="Hiperveza"/>
            <w:rFonts w:ascii="Tahoma" w:eastAsia="Times New Roman" w:hAnsi="Tahoma" w:cs="Tahoma"/>
            <w:i w:val="0"/>
            <w:iCs w:val="0"/>
            <w:lang w:eastAsia="hr-HR"/>
          </w:rPr>
          <w:t>info</w:t>
        </w:r>
        <w:r w:rsidR="006D30BA" w:rsidRPr="00F7795E">
          <w:rPr>
            <w:rStyle w:val="Hiperveza"/>
            <w:rFonts w:ascii="Arial" w:eastAsia="Times New Roman" w:hAnsi="Arial" w:cs="Arial"/>
            <w:i w:val="0"/>
            <w:iCs w:val="0"/>
            <w:lang w:eastAsia="hr-HR"/>
          </w:rPr>
          <w:t>@</w:t>
        </w:r>
        <w:r w:rsidR="006D30BA" w:rsidRPr="00F7795E">
          <w:rPr>
            <w:rStyle w:val="Hiperveza"/>
            <w:rFonts w:ascii="Tahoma" w:eastAsia="Times New Roman" w:hAnsi="Tahoma" w:cs="Tahoma"/>
            <w:i w:val="0"/>
            <w:iCs w:val="0"/>
            <w:lang w:eastAsia="hr-HR"/>
          </w:rPr>
          <w:t>kopun.hr</w:t>
        </w:r>
      </w:hyperlink>
    </w:p>
    <w:p w:rsidR="006D30BA" w:rsidRPr="00723E4C" w:rsidRDefault="006D30BA" w:rsidP="00AD5B45">
      <w:pPr>
        <w:spacing w:before="100" w:beforeAutospacing="1" w:after="100" w:afterAutospacing="1" w:line="240" w:lineRule="auto"/>
        <w:rPr>
          <w:rFonts w:ascii="Tahoma" w:eastAsia="Times New Roman" w:hAnsi="Tahoma" w:cs="Tahoma"/>
          <w:i w:val="0"/>
          <w:iCs w:val="0"/>
          <w:lang w:eastAsia="hr-HR"/>
        </w:rPr>
      </w:pPr>
      <w:r>
        <w:rPr>
          <w:rFonts w:ascii="Tahoma" w:eastAsia="Times New Roman" w:hAnsi="Tahoma" w:cs="Tahoma"/>
          <w:i w:val="0"/>
          <w:iCs w:val="0"/>
          <w:lang w:eastAsia="hr-HR"/>
        </w:rPr>
        <w:t>telefon: + 385 1 46 10 294, 46 10 295, 46 10 296</w:t>
      </w:r>
    </w:p>
    <w:p w:rsidR="007B0C2E" w:rsidRPr="00723E4C" w:rsidRDefault="007B0C2E" w:rsidP="00AD5B45">
      <w:pPr>
        <w:spacing w:before="100" w:beforeAutospacing="1" w:after="100" w:afterAutospacing="1" w:line="240" w:lineRule="auto"/>
        <w:rPr>
          <w:rFonts w:ascii="Tahoma" w:eastAsia="Times New Roman" w:hAnsi="Tahoma" w:cs="Tahoma"/>
          <w:i w:val="0"/>
          <w:iCs w:val="0"/>
          <w:lang w:eastAsia="hr-HR"/>
        </w:rPr>
      </w:pPr>
    </w:p>
    <w:p w:rsidR="00A86959" w:rsidRPr="00900DCE" w:rsidRDefault="00A86959">
      <w:pPr>
        <w:rPr>
          <w:rFonts w:ascii="Tahoma" w:hAnsi="Tahoma" w:cs="Tahoma"/>
        </w:rPr>
      </w:pPr>
    </w:p>
    <w:sectPr w:rsidR="00A86959" w:rsidRPr="00900DCE" w:rsidSect="00CC52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6368"/>
    <w:multiLevelType w:val="multilevel"/>
    <w:tmpl w:val="BDC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504B3"/>
    <w:multiLevelType w:val="multilevel"/>
    <w:tmpl w:val="0F0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B73DA"/>
    <w:multiLevelType w:val="hybridMultilevel"/>
    <w:tmpl w:val="96D02C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2002"/>
    <w:multiLevelType w:val="multilevel"/>
    <w:tmpl w:val="402A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261E"/>
    <w:multiLevelType w:val="multilevel"/>
    <w:tmpl w:val="F1B0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6433F"/>
    <w:multiLevelType w:val="multilevel"/>
    <w:tmpl w:val="F17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405ED"/>
    <w:multiLevelType w:val="multilevel"/>
    <w:tmpl w:val="006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E4F3E"/>
    <w:multiLevelType w:val="multilevel"/>
    <w:tmpl w:val="88B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D7409"/>
    <w:multiLevelType w:val="multilevel"/>
    <w:tmpl w:val="041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7CD3CD4"/>
    <w:multiLevelType w:val="multilevel"/>
    <w:tmpl w:val="97F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66C62"/>
    <w:multiLevelType w:val="multilevel"/>
    <w:tmpl w:val="5B30B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D2147"/>
    <w:multiLevelType w:val="multilevel"/>
    <w:tmpl w:val="8D64D2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64605"/>
    <w:multiLevelType w:val="hybridMultilevel"/>
    <w:tmpl w:val="FBFCB952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45"/>
    <w:rsid w:val="00061FC4"/>
    <w:rsid w:val="00146646"/>
    <w:rsid w:val="001A7E58"/>
    <w:rsid w:val="0048649C"/>
    <w:rsid w:val="00497B30"/>
    <w:rsid w:val="0053547E"/>
    <w:rsid w:val="006D30BA"/>
    <w:rsid w:val="00723E4C"/>
    <w:rsid w:val="0076030C"/>
    <w:rsid w:val="007B0C2E"/>
    <w:rsid w:val="007E38EF"/>
    <w:rsid w:val="00900DCE"/>
    <w:rsid w:val="009446F5"/>
    <w:rsid w:val="009F09EE"/>
    <w:rsid w:val="00A86959"/>
    <w:rsid w:val="00AD1934"/>
    <w:rsid w:val="00AD5B45"/>
    <w:rsid w:val="00AE2B96"/>
    <w:rsid w:val="00B915BF"/>
    <w:rsid w:val="00CC5254"/>
    <w:rsid w:val="00D65D25"/>
    <w:rsid w:val="00D7302E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9CC76-BBDB-48B1-846E-362ED941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09EE"/>
    <w:rPr>
      <w:i/>
      <w:iCs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9F09EE"/>
    <w:pPr>
      <w:pBdr>
        <w:top w:val="single" w:sz="8" w:space="0" w:color="59B0B9" w:themeColor="accent2"/>
        <w:left w:val="single" w:sz="8" w:space="0" w:color="59B0B9" w:themeColor="accent2"/>
        <w:bottom w:val="single" w:sz="8" w:space="0" w:color="59B0B9" w:themeColor="accent2"/>
        <w:right w:val="single" w:sz="8" w:space="0" w:color="59B0B9" w:themeColor="accent2"/>
      </w:pBdr>
      <w:shd w:val="clear" w:color="auto" w:fill="DDEF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85A5F" w:themeColor="accent2" w:themeShade="7F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9EE"/>
    <w:pPr>
      <w:pBdr>
        <w:top w:val="single" w:sz="4" w:space="0" w:color="59B0B9" w:themeColor="accent2"/>
        <w:left w:val="single" w:sz="48" w:space="2" w:color="59B0B9" w:themeColor="accent2"/>
        <w:bottom w:val="single" w:sz="4" w:space="0" w:color="59B0B9" w:themeColor="accent2"/>
        <w:right w:val="single" w:sz="4" w:space="4" w:color="59B0B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C8890" w:themeColor="accent2" w:themeShade="BF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9EE"/>
    <w:pPr>
      <w:pBdr>
        <w:left w:val="single" w:sz="48" w:space="2" w:color="59B0B9" w:themeColor="accent2"/>
        <w:bottom w:val="single" w:sz="4" w:space="0" w:color="59B0B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C8890" w:themeColor="accent2" w:themeShade="BF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9EE"/>
    <w:pPr>
      <w:pBdr>
        <w:left w:val="single" w:sz="4" w:space="2" w:color="59B0B9" w:themeColor="accent2"/>
        <w:bottom w:val="single" w:sz="4" w:space="2" w:color="59B0B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C8890" w:themeColor="accent2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9EE"/>
    <w:pPr>
      <w:pBdr>
        <w:left w:val="dotted" w:sz="4" w:space="2" w:color="59B0B9" w:themeColor="accent2"/>
        <w:bottom w:val="dotted" w:sz="4" w:space="2" w:color="59B0B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C8890" w:themeColor="accent2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9EE"/>
    <w:pPr>
      <w:pBdr>
        <w:bottom w:val="single" w:sz="4" w:space="2" w:color="BCDF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C8890" w:themeColor="accent2" w:themeShade="BF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9EE"/>
    <w:pPr>
      <w:pBdr>
        <w:bottom w:val="dotted" w:sz="4" w:space="2" w:color="9BCFD5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C8890" w:themeColor="accent2" w:themeShade="BF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9E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9B0B9" w:themeColor="accent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9E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9B0B9" w:themeColor="accen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9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B0C2E"/>
    <w:rPr>
      <w:color w:val="26CBEC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B0C2E"/>
    <w:rPr>
      <w:color w:val="605E5C"/>
      <w:shd w:val="clear" w:color="auto" w:fill="E1DFDD"/>
    </w:rPr>
  </w:style>
  <w:style w:type="paragraph" w:styleId="Naslov">
    <w:name w:val="Title"/>
    <w:basedOn w:val="Normal"/>
    <w:next w:val="Normal"/>
    <w:link w:val="NaslovChar"/>
    <w:uiPriority w:val="10"/>
    <w:qFormat/>
    <w:rsid w:val="009F09EE"/>
    <w:pPr>
      <w:pBdr>
        <w:top w:val="single" w:sz="48" w:space="0" w:color="59B0B9" w:themeColor="accent2"/>
        <w:bottom w:val="single" w:sz="48" w:space="0" w:color="59B0B9" w:themeColor="accent2"/>
      </w:pBdr>
      <w:shd w:val="clear" w:color="auto" w:fill="59B0B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9F09E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9B0B9" w:themeFill="accent2"/>
    </w:rPr>
  </w:style>
  <w:style w:type="character" w:customStyle="1" w:styleId="Naslov1Char">
    <w:name w:val="Naslov 1 Char"/>
    <w:basedOn w:val="Zadanifontodlomka"/>
    <w:link w:val="Naslov1"/>
    <w:uiPriority w:val="9"/>
    <w:rsid w:val="009F09EE"/>
    <w:rPr>
      <w:rFonts w:asciiTheme="majorHAnsi" w:eastAsiaTheme="majorEastAsia" w:hAnsiTheme="majorHAnsi" w:cstheme="majorBidi"/>
      <w:b/>
      <w:bCs/>
      <w:i/>
      <w:iCs/>
      <w:color w:val="285A5F" w:themeColor="accent2" w:themeShade="7F"/>
      <w:shd w:val="clear" w:color="auto" w:fill="DDEFF1" w:themeFill="accent2" w:themeFillTint="33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9EE"/>
    <w:rPr>
      <w:rFonts w:asciiTheme="majorHAnsi" w:eastAsiaTheme="majorEastAsia" w:hAnsiTheme="majorHAnsi" w:cstheme="majorBidi"/>
      <w:b/>
      <w:bCs/>
      <w:i/>
      <w:iCs/>
      <w:color w:val="3C8890" w:themeColor="accent2" w:themeShade="BF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9EE"/>
    <w:rPr>
      <w:rFonts w:asciiTheme="majorHAnsi" w:eastAsiaTheme="majorEastAsia" w:hAnsiTheme="majorHAnsi" w:cstheme="majorBidi"/>
      <w:b/>
      <w:bCs/>
      <w:i/>
      <w:iCs/>
      <w:color w:val="3C8890" w:themeColor="accent2" w:themeShade="B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9EE"/>
    <w:rPr>
      <w:rFonts w:asciiTheme="majorHAnsi" w:eastAsiaTheme="majorEastAsia" w:hAnsiTheme="majorHAnsi" w:cstheme="majorBidi"/>
      <w:b/>
      <w:bCs/>
      <w:i/>
      <w:iCs/>
      <w:color w:val="3C8890" w:themeColor="accent2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9EE"/>
    <w:rPr>
      <w:rFonts w:asciiTheme="majorHAnsi" w:eastAsiaTheme="majorEastAsia" w:hAnsiTheme="majorHAnsi" w:cstheme="majorBidi"/>
      <w:b/>
      <w:bCs/>
      <w:i/>
      <w:iCs/>
      <w:color w:val="3C8890" w:themeColor="accen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9EE"/>
    <w:rPr>
      <w:rFonts w:asciiTheme="majorHAnsi" w:eastAsiaTheme="majorEastAsia" w:hAnsiTheme="majorHAnsi" w:cstheme="majorBidi"/>
      <w:i/>
      <w:iCs/>
      <w:color w:val="3C8890" w:themeColor="accen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9EE"/>
    <w:rPr>
      <w:rFonts w:asciiTheme="majorHAnsi" w:eastAsiaTheme="majorEastAsia" w:hAnsiTheme="majorHAnsi" w:cstheme="majorBidi"/>
      <w:i/>
      <w:iCs/>
      <w:color w:val="3C8890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9EE"/>
    <w:rPr>
      <w:rFonts w:asciiTheme="majorHAnsi" w:eastAsiaTheme="majorEastAsia" w:hAnsiTheme="majorHAnsi" w:cstheme="majorBidi"/>
      <w:i/>
      <w:iCs/>
      <w:color w:val="59B0B9" w:themeColor="accen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9EE"/>
    <w:rPr>
      <w:rFonts w:asciiTheme="majorHAnsi" w:eastAsiaTheme="majorEastAsia" w:hAnsiTheme="majorHAnsi" w:cstheme="majorBidi"/>
      <w:i/>
      <w:iCs/>
      <w:color w:val="59B0B9" w:themeColor="accent2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F09EE"/>
    <w:rPr>
      <w:b/>
      <w:bCs/>
      <w:color w:val="3C8890" w:themeColor="accent2" w:themeShade="BF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09EE"/>
    <w:pPr>
      <w:pBdr>
        <w:bottom w:val="dotted" w:sz="8" w:space="10" w:color="59B0B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85A5F" w:themeColor="accent2" w:themeShade="7F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F09EE"/>
    <w:rPr>
      <w:rFonts w:asciiTheme="majorHAnsi" w:eastAsiaTheme="majorEastAsia" w:hAnsiTheme="majorHAnsi" w:cstheme="majorBidi"/>
      <w:i/>
      <w:iCs/>
      <w:color w:val="285A5F" w:themeColor="accent2" w:themeShade="7F"/>
      <w:sz w:val="24"/>
      <w:szCs w:val="24"/>
    </w:rPr>
  </w:style>
  <w:style w:type="character" w:styleId="Naglaeno">
    <w:name w:val="Strong"/>
    <w:uiPriority w:val="22"/>
    <w:qFormat/>
    <w:rsid w:val="009F09EE"/>
    <w:rPr>
      <w:b/>
      <w:bCs/>
      <w:spacing w:val="0"/>
    </w:rPr>
  </w:style>
  <w:style w:type="character" w:styleId="Istaknuto">
    <w:name w:val="Emphasis"/>
    <w:uiPriority w:val="20"/>
    <w:qFormat/>
    <w:rsid w:val="009F09EE"/>
    <w:rPr>
      <w:rFonts w:asciiTheme="majorHAnsi" w:eastAsiaTheme="majorEastAsia" w:hAnsiTheme="majorHAnsi" w:cstheme="majorBidi"/>
      <w:b/>
      <w:bCs/>
      <w:i/>
      <w:iCs/>
      <w:color w:val="59B0B9" w:themeColor="accent2"/>
      <w:bdr w:val="single" w:sz="18" w:space="0" w:color="DDEFF1" w:themeColor="accent2" w:themeTint="33"/>
      <w:shd w:val="clear" w:color="auto" w:fill="DDEFF1" w:themeFill="accent2" w:themeFillTint="33"/>
    </w:rPr>
  </w:style>
  <w:style w:type="paragraph" w:styleId="Bezproreda">
    <w:name w:val="No Spacing"/>
    <w:basedOn w:val="Normal"/>
    <w:link w:val="BezproredaChar"/>
    <w:uiPriority w:val="1"/>
    <w:qFormat/>
    <w:rsid w:val="009F09E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9F09EE"/>
    <w:rPr>
      <w:i/>
      <w:iCs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9F09EE"/>
    <w:rPr>
      <w:i w:val="0"/>
      <w:iCs w:val="0"/>
      <w:color w:val="3C8890" w:themeColor="accent2" w:themeShade="BF"/>
    </w:rPr>
  </w:style>
  <w:style w:type="character" w:customStyle="1" w:styleId="CitatChar">
    <w:name w:val="Citat Char"/>
    <w:basedOn w:val="Zadanifontodlomka"/>
    <w:link w:val="Citat"/>
    <w:uiPriority w:val="29"/>
    <w:rsid w:val="009F09EE"/>
    <w:rPr>
      <w:color w:val="3C8890" w:themeColor="accent2" w:themeShade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9EE"/>
    <w:pPr>
      <w:pBdr>
        <w:top w:val="dotted" w:sz="8" w:space="10" w:color="59B0B9" w:themeColor="accent2"/>
        <w:bottom w:val="dotted" w:sz="8" w:space="10" w:color="59B0B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9B0B9" w:themeColor="accent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9EE"/>
    <w:rPr>
      <w:rFonts w:asciiTheme="majorHAnsi" w:eastAsiaTheme="majorEastAsia" w:hAnsiTheme="majorHAnsi" w:cstheme="majorBidi"/>
      <w:b/>
      <w:bCs/>
      <w:i/>
      <w:iCs/>
      <w:color w:val="59B0B9" w:themeColor="accent2"/>
      <w:sz w:val="20"/>
      <w:szCs w:val="20"/>
    </w:rPr>
  </w:style>
  <w:style w:type="character" w:styleId="Neupadljivoisticanje">
    <w:name w:val="Subtle Emphasis"/>
    <w:uiPriority w:val="19"/>
    <w:qFormat/>
    <w:rsid w:val="009F09EE"/>
    <w:rPr>
      <w:rFonts w:asciiTheme="majorHAnsi" w:eastAsiaTheme="majorEastAsia" w:hAnsiTheme="majorHAnsi" w:cstheme="majorBidi"/>
      <w:i/>
      <w:iCs/>
      <w:color w:val="59B0B9" w:themeColor="accent2"/>
    </w:rPr>
  </w:style>
  <w:style w:type="character" w:styleId="Jakoisticanje">
    <w:name w:val="Intense Emphasis"/>
    <w:uiPriority w:val="21"/>
    <w:qFormat/>
    <w:rsid w:val="009F09E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9B0B9" w:themeColor="accent2"/>
      <w:shd w:val="clear" w:color="auto" w:fill="59B0B9" w:themeFill="accent2"/>
      <w:vertAlign w:val="baseline"/>
    </w:rPr>
  </w:style>
  <w:style w:type="character" w:styleId="Neupadljivareferenca">
    <w:name w:val="Subtle Reference"/>
    <w:uiPriority w:val="31"/>
    <w:qFormat/>
    <w:rsid w:val="009F09EE"/>
    <w:rPr>
      <w:i/>
      <w:iCs/>
      <w:smallCaps/>
      <w:color w:val="59B0B9" w:themeColor="accent2"/>
      <w:u w:color="59B0B9" w:themeColor="accent2"/>
    </w:rPr>
  </w:style>
  <w:style w:type="character" w:styleId="Istaknutareferenca">
    <w:name w:val="Intense Reference"/>
    <w:uiPriority w:val="32"/>
    <w:qFormat/>
    <w:rsid w:val="009F09EE"/>
    <w:rPr>
      <w:b/>
      <w:bCs/>
      <w:i/>
      <w:iCs/>
      <w:smallCaps/>
      <w:color w:val="59B0B9" w:themeColor="accent2"/>
      <w:u w:color="59B0B9" w:themeColor="accent2"/>
    </w:rPr>
  </w:style>
  <w:style w:type="character" w:styleId="Naslovknjige">
    <w:name w:val="Book Title"/>
    <w:uiPriority w:val="33"/>
    <w:qFormat/>
    <w:rsid w:val="009F09EE"/>
    <w:rPr>
      <w:rFonts w:asciiTheme="majorHAnsi" w:eastAsiaTheme="majorEastAsia" w:hAnsiTheme="majorHAnsi" w:cstheme="majorBidi"/>
      <w:b/>
      <w:bCs/>
      <w:i/>
      <w:iCs/>
      <w:smallCaps/>
      <w:color w:val="3C8890" w:themeColor="accent2" w:themeShade="BF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F09E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pun.hr" TargetMode="External"/><Relationship Id="rId5" Type="http://schemas.openxmlformats.org/officeDocument/2006/relationships/hyperlink" Target="https://www.mingo.hr/page/kategorija/investici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Kranjčec Makek</dc:creator>
  <cp:lastModifiedBy>Nataša Kranjčec Makek</cp:lastModifiedBy>
  <cp:revision>2</cp:revision>
  <dcterms:created xsi:type="dcterms:W3CDTF">2019-09-24T08:23:00Z</dcterms:created>
  <dcterms:modified xsi:type="dcterms:W3CDTF">2019-09-24T08:23:00Z</dcterms:modified>
</cp:coreProperties>
</file>