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6646D" w14:textId="77777777" w:rsidR="00BE7D75" w:rsidRDefault="00BE7D75" w:rsidP="001219BD">
      <w:pPr>
        <w:spacing w:after="0" w:line="240" w:lineRule="auto"/>
        <w:jc w:val="both"/>
        <w:rPr>
          <w:rFonts w:eastAsia="Times New Roman"/>
          <w:i/>
          <w:iCs/>
          <w:color w:val="E30000"/>
          <w:sz w:val="27"/>
          <w:szCs w:val="27"/>
          <w:lang w:eastAsia="hr-HR"/>
        </w:rPr>
      </w:pPr>
      <w:bookmarkStart w:id="0" w:name="_GoBack"/>
      <w:r>
        <w:rPr>
          <w:rFonts w:eastAsia="Times New Roman"/>
          <w:i/>
          <w:iCs/>
          <w:color w:val="E30000"/>
          <w:sz w:val="27"/>
          <w:szCs w:val="27"/>
          <w:lang w:eastAsia="hr-HR"/>
        </w:rPr>
        <w:t>Vrijednosno usklađenje potraživanja od kupaca u skladu sa MSFI 9 – Financijski instrumenti</w:t>
      </w:r>
    </w:p>
    <w:bookmarkEnd w:id="0"/>
    <w:p w14:paraId="7E676A2F" w14:textId="77777777" w:rsidR="00BE7D75" w:rsidRDefault="00BE7D75" w:rsidP="00BE7D75">
      <w:pPr>
        <w:spacing w:after="0" w:line="240" w:lineRule="auto"/>
        <w:rPr>
          <w:rFonts w:eastAsia="Times New Roman"/>
          <w:i/>
          <w:iCs/>
          <w:color w:val="E30000"/>
          <w:sz w:val="27"/>
          <w:szCs w:val="27"/>
          <w:lang w:eastAsia="hr-HR"/>
        </w:rPr>
      </w:pPr>
    </w:p>
    <w:p w14:paraId="60617CF1"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i/>
          <w:iCs/>
          <w:color w:val="E30000"/>
          <w:sz w:val="27"/>
          <w:szCs w:val="27"/>
          <w:lang w:eastAsia="hr-HR"/>
        </w:rPr>
        <w:t>Uvod</w:t>
      </w:r>
    </w:p>
    <w:p w14:paraId="17030ABC" w14:textId="77777777" w:rsidR="00BE7D75" w:rsidRPr="00BE7D75" w:rsidRDefault="00BE7D75" w:rsidP="00BE7D75">
      <w:pPr>
        <w:spacing w:after="0" w:line="240" w:lineRule="auto"/>
        <w:rPr>
          <w:rFonts w:eastAsia="Times New Roman"/>
          <w:sz w:val="24"/>
          <w:szCs w:val="24"/>
          <w:lang w:eastAsia="hr-HR"/>
        </w:rPr>
      </w:pPr>
    </w:p>
    <w:p w14:paraId="6ABF9853"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Iako je iz naslova teško shvatiti da vrijednosno usklađenje potraživanja ima veze sa računovodstvenim standardom koji se bavi financijskim instrumentima, činjenica je da su potraživanja jedan od elemenata financijske imovine. Dakle, iako sam naziv MSFI-a zavarava i za očekivati je da će isti biti od interesa isključivo financijskim institucijama, svi obveznici MSFI-a moraju primjenjivati odredbe ovog standarda barem prilikom vrednovanja potraživanja od kupaca.</w:t>
      </w:r>
    </w:p>
    <w:p w14:paraId="534393AC" w14:textId="77777777" w:rsidR="00BE7D75" w:rsidRPr="00BE7D75" w:rsidRDefault="00BE7D75" w:rsidP="00BE7D75">
      <w:pPr>
        <w:spacing w:after="0" w:line="240" w:lineRule="auto"/>
        <w:jc w:val="both"/>
        <w:rPr>
          <w:rFonts w:eastAsia="Times New Roman"/>
          <w:sz w:val="24"/>
          <w:szCs w:val="24"/>
          <w:lang w:eastAsia="hr-HR"/>
        </w:rPr>
      </w:pPr>
    </w:p>
    <w:p w14:paraId="6285206C"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Predmetni standard u primjeni je od 01.01.2018. godine (odnosno, počevši od financijskih izvještaja za 2018. godinu), ali nedoumice oko modela utvrđivanja vrijednosnog usklađenja potraživanja od kupaca bile su izražene tijekom izrade financijskih izvještaja za 2018. godinu.  Danas, nakon okončanih financijskih izvještaja za 2018. godinu (prvenstveno) međunarodna iskustva pomažu nam kako definirati i utvrditi vrijednosno usklađenje potraživanja od kupaca na svaki datum bilance.</w:t>
      </w:r>
    </w:p>
    <w:p w14:paraId="2839C180" w14:textId="77777777" w:rsidR="00BE7D75" w:rsidRPr="00BE7D75" w:rsidRDefault="00BE7D75" w:rsidP="00BE7D75">
      <w:pPr>
        <w:spacing w:after="0" w:line="240" w:lineRule="auto"/>
        <w:rPr>
          <w:rFonts w:eastAsia="Times New Roman"/>
          <w:sz w:val="24"/>
          <w:szCs w:val="24"/>
          <w:lang w:eastAsia="hr-HR"/>
        </w:rPr>
      </w:pPr>
    </w:p>
    <w:p w14:paraId="4AC1256A"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i/>
          <w:iCs/>
          <w:color w:val="E30000"/>
          <w:sz w:val="27"/>
          <w:szCs w:val="27"/>
          <w:lang w:eastAsia="hr-HR"/>
        </w:rPr>
        <w:t>Definicije</w:t>
      </w:r>
    </w:p>
    <w:p w14:paraId="6EC52C25" w14:textId="77777777" w:rsidR="00BE7D75" w:rsidRPr="00BE7D75" w:rsidRDefault="00BE7D75" w:rsidP="00BE7D75">
      <w:pPr>
        <w:spacing w:after="0" w:line="240" w:lineRule="auto"/>
        <w:rPr>
          <w:rFonts w:eastAsia="Times New Roman"/>
          <w:sz w:val="24"/>
          <w:szCs w:val="24"/>
          <w:lang w:eastAsia="hr-HR"/>
        </w:rPr>
      </w:pPr>
    </w:p>
    <w:p w14:paraId="1D3B8313"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Potraživanja od kupaca predstavljaju financijski instrument koji u pravilu proizlazi iz ugovornog odnosa sa kupcem sa naslova kojega društvo formira prihode. Predmetni ugovori sa kupcima pretpostavljaju da društvo ima pravo na primitak novčanih sredstva pod određenim uvjetima (npr. isporuka robe ili pružanje usluga).</w:t>
      </w:r>
    </w:p>
    <w:p w14:paraId="0F203EA8" w14:textId="77777777" w:rsidR="00BE7D75" w:rsidRPr="00BE7D75" w:rsidRDefault="00BE7D75" w:rsidP="00BE7D75">
      <w:pPr>
        <w:spacing w:after="0" w:line="240" w:lineRule="auto"/>
        <w:jc w:val="both"/>
        <w:rPr>
          <w:rFonts w:eastAsia="Times New Roman"/>
          <w:sz w:val="24"/>
          <w:szCs w:val="24"/>
          <w:lang w:eastAsia="hr-HR"/>
        </w:rPr>
      </w:pPr>
    </w:p>
    <w:p w14:paraId="631062D5" w14:textId="45B1D04C" w:rsidR="00BE7D75" w:rsidRDefault="00BE7D75" w:rsidP="00BE7D75">
      <w:pPr>
        <w:spacing w:after="0" w:line="240" w:lineRule="auto"/>
        <w:jc w:val="both"/>
        <w:rPr>
          <w:rFonts w:eastAsia="Times New Roman"/>
          <w:bdr w:val="none" w:sz="0" w:space="0" w:color="auto" w:frame="1"/>
          <w:lang w:eastAsia="hr-HR"/>
        </w:rPr>
      </w:pPr>
      <w:r w:rsidRPr="00BE7D75">
        <w:rPr>
          <w:rFonts w:eastAsia="Times New Roman"/>
          <w:bdr w:val="none" w:sz="0" w:space="0" w:color="auto" w:frame="1"/>
          <w:lang w:eastAsia="hr-HR"/>
        </w:rPr>
        <w:t>Najveća novost kod novog MSFI 9 je definiranje </w:t>
      </w:r>
      <w:r w:rsidRPr="00BE7D75">
        <w:rPr>
          <w:rFonts w:eastAsia="Times New Roman"/>
          <w:b/>
          <w:bCs/>
          <w:bdr w:val="none" w:sz="0" w:space="0" w:color="auto" w:frame="1"/>
          <w:lang w:eastAsia="hr-HR"/>
        </w:rPr>
        <w:t>modela umanjenja vrijednosti</w:t>
      </w:r>
      <w:r w:rsidRPr="00BE7D75">
        <w:rPr>
          <w:rFonts w:eastAsia="Times New Roman"/>
          <w:bdr w:val="none" w:sz="0" w:space="0" w:color="auto" w:frame="1"/>
          <w:lang w:eastAsia="hr-HR"/>
        </w:rPr>
        <w:t> vezano uz potraživanja i financijsku imovinu. Novi MSFI definira umanjenje vrijednosti potraživanja pomoću modela </w:t>
      </w:r>
      <w:r w:rsidRPr="00BE7D75">
        <w:rPr>
          <w:rFonts w:eastAsia="Times New Roman"/>
          <w:b/>
          <w:bCs/>
          <w:bdr w:val="none" w:sz="0" w:space="0" w:color="auto" w:frame="1"/>
          <w:lang w:eastAsia="hr-HR"/>
        </w:rPr>
        <w:t>očekivanih kreditnih gubitaka</w:t>
      </w:r>
      <w:r w:rsidRPr="00BE7D75">
        <w:rPr>
          <w:rFonts w:eastAsia="Times New Roman"/>
          <w:bdr w:val="none" w:sz="0" w:space="0" w:color="auto" w:frame="1"/>
          <w:lang w:eastAsia="hr-HR"/>
        </w:rPr>
        <w:t>, što predstavlja značajno odstupanje od postojećeg modela </w:t>
      </w:r>
      <w:r w:rsidRPr="00BE7D75">
        <w:rPr>
          <w:rFonts w:eastAsia="Times New Roman"/>
          <w:b/>
          <w:bCs/>
          <w:bdr w:val="none" w:sz="0" w:space="0" w:color="auto" w:frame="1"/>
          <w:lang w:eastAsia="hr-HR"/>
        </w:rPr>
        <w:t>nastalih kreditnih gubitaka</w:t>
      </w:r>
      <w:r w:rsidRPr="00BE7D75">
        <w:rPr>
          <w:rFonts w:eastAsia="Times New Roman"/>
          <w:bdr w:val="none" w:sz="0" w:space="0" w:color="auto" w:frame="1"/>
          <w:lang w:eastAsia="hr-HR"/>
        </w:rPr>
        <w:t xml:space="preserve"> definiranih odredbama </w:t>
      </w:r>
      <w:r w:rsidRPr="00BE7D75">
        <w:rPr>
          <w:rFonts w:eastAsia="Times New Roman"/>
          <w:i/>
          <w:iCs/>
          <w:lang w:eastAsia="hr-HR"/>
        </w:rPr>
        <w:t>MRS 39</w:t>
      </w:r>
      <w:r w:rsidR="00CA0250">
        <w:rPr>
          <w:rFonts w:eastAsia="Times New Roman"/>
          <w:i/>
          <w:iCs/>
          <w:lang w:eastAsia="hr-HR"/>
        </w:rPr>
        <w:t xml:space="preserve"> - </w:t>
      </w:r>
      <w:r w:rsidRPr="00BE7D75">
        <w:rPr>
          <w:rFonts w:eastAsia="Times New Roman"/>
          <w:i/>
          <w:iCs/>
          <w:lang w:eastAsia="hr-HR"/>
        </w:rPr>
        <w:t>Financijski instrumenti: priznavanje i mjerenje</w:t>
      </w:r>
      <w:r w:rsidRPr="00BE7D75">
        <w:rPr>
          <w:rFonts w:eastAsia="Times New Roman"/>
          <w:bdr w:val="none" w:sz="0" w:space="0" w:color="auto" w:frame="1"/>
          <w:lang w:eastAsia="hr-HR"/>
        </w:rPr>
        <w:t>.</w:t>
      </w:r>
    </w:p>
    <w:p w14:paraId="06AC813D" w14:textId="77777777" w:rsidR="00BE7D75" w:rsidRPr="00BE7D75" w:rsidRDefault="00BE7D75" w:rsidP="00BE7D75">
      <w:pPr>
        <w:spacing w:after="0" w:line="240" w:lineRule="auto"/>
        <w:jc w:val="both"/>
        <w:rPr>
          <w:rFonts w:eastAsia="Times New Roman"/>
          <w:sz w:val="24"/>
          <w:szCs w:val="24"/>
          <w:lang w:eastAsia="hr-HR"/>
        </w:rPr>
      </w:pPr>
    </w:p>
    <w:p w14:paraId="22E6BE4E" w14:textId="77777777" w:rsidR="00BE7D75" w:rsidRDefault="00BE7D75" w:rsidP="00BE7D75">
      <w:pPr>
        <w:spacing w:after="0" w:line="240" w:lineRule="auto"/>
        <w:jc w:val="both"/>
        <w:rPr>
          <w:rFonts w:eastAsia="Times New Roman"/>
          <w:bdr w:val="none" w:sz="0" w:space="0" w:color="auto" w:frame="1"/>
          <w:lang w:eastAsia="hr-HR"/>
        </w:rPr>
      </w:pPr>
      <w:r w:rsidRPr="00BE7D75">
        <w:rPr>
          <w:rFonts w:eastAsia="Times New Roman"/>
          <w:b/>
          <w:bCs/>
          <w:bdr w:val="none" w:sz="0" w:space="0" w:color="auto" w:frame="1"/>
          <w:lang w:eastAsia="hr-HR"/>
        </w:rPr>
        <w:t>Model nastalog gubitka</w:t>
      </w:r>
      <w:r w:rsidRPr="00BE7D75">
        <w:rPr>
          <w:rFonts w:eastAsia="Times New Roman"/>
          <w:bdr w:val="none" w:sz="0" w:space="0" w:color="auto" w:frame="1"/>
          <w:lang w:eastAsia="hr-HR"/>
        </w:rPr>
        <w:t> iz MRS-a 39 priznavao je gubitak po financijskom instrumentu tek kada se pojavio objektivan dokaz o umanjenju vrijednosti financijskog instrumenta, kao primjerice kašnjenje plaćanja obveza, financijske poteškoće dužnika, otvaranje predstečajnog / stečajnog postupka, likvidacija dužnika i sl. Na taj način ovaj je pristup rezultirao dosta kasnim priznavanjem gubitaka u financijskim izvještajima.</w:t>
      </w:r>
    </w:p>
    <w:p w14:paraId="091F7235" w14:textId="77777777" w:rsidR="00BE7D75" w:rsidRPr="00BE7D75" w:rsidRDefault="00BE7D75" w:rsidP="00BE7D75">
      <w:pPr>
        <w:spacing w:after="0" w:line="240" w:lineRule="auto"/>
        <w:jc w:val="both"/>
        <w:rPr>
          <w:rFonts w:eastAsia="Times New Roman"/>
          <w:sz w:val="24"/>
          <w:szCs w:val="24"/>
          <w:lang w:eastAsia="hr-HR"/>
        </w:rPr>
      </w:pPr>
    </w:p>
    <w:p w14:paraId="166D13C1"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dr w:val="none" w:sz="0" w:space="0" w:color="auto" w:frame="1"/>
          <w:lang w:eastAsia="hr-HR"/>
        </w:rPr>
        <w:t>Nasuprot tome, </w:t>
      </w:r>
      <w:r w:rsidRPr="00BE7D75">
        <w:rPr>
          <w:rFonts w:eastAsia="Times New Roman"/>
          <w:b/>
          <w:bCs/>
          <w:bdr w:val="none" w:sz="0" w:space="0" w:color="auto" w:frame="1"/>
          <w:lang w:eastAsia="hr-HR"/>
        </w:rPr>
        <w:t>model očekivanih kreditnih gubitaka</w:t>
      </w:r>
      <w:r w:rsidRPr="00BE7D75">
        <w:rPr>
          <w:rFonts w:eastAsia="Times New Roman"/>
          <w:bdr w:val="none" w:sz="0" w:space="0" w:color="auto" w:frame="1"/>
          <w:lang w:eastAsia="hr-HR"/>
        </w:rPr>
        <w:t> zahtijeva procjenu mogućih gubitaka od umanjenja vrijednosti financijskih instrumenata prije pogoršanja financijske i kreditne sposobnosti dužnika. </w:t>
      </w:r>
      <w:r w:rsidRPr="00BE7D75">
        <w:rPr>
          <w:rFonts w:eastAsia="Times New Roman"/>
          <w:lang w:eastAsia="hr-HR"/>
        </w:rPr>
        <w:t>Ovaj model zahtjeva da se vrijednosno usklađenje priznaje prije nego što je došlo to nastalih gubitaka. Ovaj pristup zahtjeva da se na svaki dan bilance razmotre trenutni uvjeti i buduća gospodarska kretanja, koji su dostupna u trenutku izrade financijskih izvještaja, kako bi se projicirali očekivani kreditni gubici. </w:t>
      </w:r>
    </w:p>
    <w:p w14:paraId="719B84F0" w14:textId="77777777" w:rsidR="00BE7D75" w:rsidRPr="00BE7D75" w:rsidRDefault="00BE7D75" w:rsidP="00BE7D75">
      <w:pPr>
        <w:spacing w:after="0" w:line="240" w:lineRule="auto"/>
        <w:rPr>
          <w:rFonts w:eastAsia="Times New Roman"/>
          <w:sz w:val="24"/>
          <w:szCs w:val="24"/>
          <w:lang w:eastAsia="hr-HR"/>
        </w:rPr>
      </w:pPr>
    </w:p>
    <w:p w14:paraId="7647E35F"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i/>
          <w:iCs/>
          <w:color w:val="E30000"/>
          <w:sz w:val="28"/>
          <w:szCs w:val="28"/>
          <w:lang w:eastAsia="hr-HR"/>
        </w:rPr>
        <w:t>Modeli vrijednosnog usklađenja kod potraživanja od kupaca</w:t>
      </w:r>
    </w:p>
    <w:p w14:paraId="3EEA9AD7" w14:textId="77777777" w:rsidR="00BE7D75" w:rsidRPr="00BE7D75" w:rsidRDefault="00BE7D75" w:rsidP="00BE7D75">
      <w:pPr>
        <w:spacing w:after="0" w:line="240" w:lineRule="auto"/>
        <w:rPr>
          <w:rFonts w:eastAsia="Times New Roman"/>
          <w:sz w:val="24"/>
          <w:szCs w:val="24"/>
          <w:lang w:eastAsia="hr-HR"/>
        </w:rPr>
      </w:pPr>
    </w:p>
    <w:p w14:paraId="4942F02A" w14:textId="77777777" w:rsidR="00BE7D75" w:rsidRDefault="00BE7D75" w:rsidP="00BE7D75">
      <w:pPr>
        <w:spacing w:after="0" w:line="240" w:lineRule="auto"/>
        <w:jc w:val="both"/>
        <w:rPr>
          <w:rFonts w:eastAsia="Times New Roman"/>
          <w:lang w:eastAsia="hr-HR"/>
        </w:rPr>
      </w:pPr>
      <w:r w:rsidRPr="00BE7D75">
        <w:rPr>
          <w:rFonts w:eastAsia="Times New Roman"/>
          <w:lang w:eastAsia="hr-HR"/>
        </w:rPr>
        <w:t xml:space="preserve">Prilikom definiranja modela vrijednosnog usklađenja </w:t>
      </w:r>
      <w:r w:rsidRPr="00BE7D75">
        <w:rPr>
          <w:rFonts w:eastAsia="Times New Roman"/>
          <w:b/>
          <w:bCs/>
          <w:lang w:eastAsia="hr-HR"/>
        </w:rPr>
        <w:t>potraživanja od kupaca, koji ne sadrže značajniju komponentu financiranja</w:t>
      </w:r>
      <w:r w:rsidRPr="00BE7D75">
        <w:rPr>
          <w:rFonts w:eastAsia="Times New Roman"/>
          <w:lang w:eastAsia="hr-HR"/>
        </w:rPr>
        <w:t xml:space="preserve"> omogućen je tzv. “</w:t>
      </w:r>
      <w:r w:rsidRPr="00BE7D75">
        <w:rPr>
          <w:rFonts w:eastAsia="Times New Roman"/>
          <w:i/>
          <w:iCs/>
          <w:lang w:eastAsia="hr-HR"/>
        </w:rPr>
        <w:t>pojednostavljeni pristup</w:t>
      </w:r>
      <w:r w:rsidRPr="00BE7D75">
        <w:rPr>
          <w:rFonts w:eastAsia="Times New Roman"/>
          <w:lang w:eastAsia="hr-HR"/>
        </w:rPr>
        <w:t>” definiranja vrijednosnog usklađenja. Navedeno podrazumijeva definiranje očekivanog vrijednosnog usklađenja tijekom cijelog razdoblja potraživanja (odnosno do njegove naplate).</w:t>
      </w:r>
    </w:p>
    <w:p w14:paraId="28044EBB" w14:textId="77777777" w:rsidR="00BE7D75" w:rsidRPr="00BE7D75" w:rsidRDefault="00BE7D75" w:rsidP="00BE7D75">
      <w:pPr>
        <w:spacing w:after="0" w:line="240" w:lineRule="auto"/>
        <w:jc w:val="both"/>
        <w:rPr>
          <w:rFonts w:eastAsia="Times New Roman"/>
          <w:sz w:val="24"/>
          <w:szCs w:val="24"/>
          <w:lang w:eastAsia="hr-HR"/>
        </w:rPr>
      </w:pPr>
    </w:p>
    <w:p w14:paraId="484D1CBF" w14:textId="37CF7964"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No, ovaj pojednostavljeni model može se priznav</w:t>
      </w:r>
      <w:r w:rsidR="00CA0250">
        <w:rPr>
          <w:rFonts w:eastAsia="Times New Roman"/>
          <w:lang w:eastAsia="hr-HR"/>
        </w:rPr>
        <w:t>a</w:t>
      </w:r>
      <w:r w:rsidRPr="00BE7D75">
        <w:rPr>
          <w:rFonts w:eastAsia="Times New Roman"/>
          <w:lang w:eastAsia="hr-HR"/>
        </w:rPr>
        <w:t xml:space="preserve">ti isključivo ukoliko ne postoji značajna komponenta financiranja (npr. odobravanje dužih razdoblja naplate potraživanja, gdje je prilikom formiranja prodajne cijene uključena bila i cijena kapitala). Većina potraživanja od kupaca (u </w:t>
      </w:r>
      <w:r w:rsidRPr="00BE7D75">
        <w:rPr>
          <w:rFonts w:eastAsia="Times New Roman"/>
          <w:lang w:eastAsia="hr-HR"/>
        </w:rPr>
        <w:lastRenderedPageBreak/>
        <w:t xml:space="preserve">pravilu) ne uključuju komponentu financiranja, zbog čega se može </w:t>
      </w:r>
      <w:r w:rsidR="00CA0250">
        <w:rPr>
          <w:rFonts w:eastAsia="Times New Roman"/>
          <w:lang w:eastAsia="hr-HR"/>
        </w:rPr>
        <w:t>primjeniti</w:t>
      </w:r>
      <w:r w:rsidR="00CA0250" w:rsidRPr="00BE7D75">
        <w:rPr>
          <w:rFonts w:eastAsia="Times New Roman"/>
          <w:lang w:eastAsia="hr-HR"/>
        </w:rPr>
        <w:t xml:space="preserve"> </w:t>
      </w:r>
      <w:r w:rsidRPr="00F1736B">
        <w:rPr>
          <w:rFonts w:eastAsia="Times New Roman"/>
          <w:b/>
          <w:lang w:eastAsia="hr-HR"/>
        </w:rPr>
        <w:t>pojednostavljeni pristup vrijednosnog usklađenja</w:t>
      </w:r>
      <w:r w:rsidRPr="00BE7D75">
        <w:rPr>
          <w:rFonts w:eastAsia="Times New Roman"/>
          <w:lang w:eastAsia="hr-HR"/>
        </w:rPr>
        <w:t>.</w:t>
      </w:r>
    </w:p>
    <w:p w14:paraId="5154A9CC"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w:t>
      </w:r>
    </w:p>
    <w:p w14:paraId="3802CBDB"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Metoda pomoću koje se može definirati ovakvo vrijednosno usklađenje potraživanja bez značajne komponente financiranja pomoću pojednostavljenog pristupa je metoda “</w:t>
      </w:r>
      <w:r w:rsidRPr="00BE7D75">
        <w:rPr>
          <w:rFonts w:eastAsia="Times New Roman"/>
          <w:i/>
          <w:iCs/>
          <w:lang w:eastAsia="hr-HR"/>
        </w:rPr>
        <w:t>matrice umanjenja vrijednosti</w:t>
      </w:r>
      <w:r w:rsidRPr="00BE7D75">
        <w:rPr>
          <w:rFonts w:eastAsia="Times New Roman"/>
          <w:lang w:eastAsia="hr-HR"/>
        </w:rPr>
        <w:t>”.  Matrica umanjenja vrijednosti temelji se na</w:t>
      </w:r>
      <w:r w:rsidRPr="00BE7D75">
        <w:rPr>
          <w:rFonts w:eastAsia="Times New Roman"/>
          <w:shd w:val="clear" w:color="auto" w:fill="FFFFFF"/>
          <w:lang w:eastAsia="hr-HR"/>
        </w:rPr>
        <w:t> </w:t>
      </w:r>
      <w:r w:rsidRPr="00BE7D75">
        <w:rPr>
          <w:rFonts w:eastAsia="Times New Roman"/>
          <w:b/>
          <w:bCs/>
          <w:bdr w:val="none" w:sz="0" w:space="0" w:color="auto" w:frame="1"/>
          <w:lang w:eastAsia="hr-HR"/>
        </w:rPr>
        <w:t>povijesnim stopama neispunjenja obveza pojedinih poslovnih partnera</w:t>
      </w:r>
      <w:r w:rsidRPr="00BE7D75">
        <w:rPr>
          <w:rFonts w:eastAsia="Times New Roman"/>
          <w:shd w:val="clear" w:color="auto" w:fill="FFFFFF"/>
          <w:lang w:eastAsia="hr-HR"/>
        </w:rPr>
        <w:t> </w:t>
      </w:r>
      <w:r w:rsidRPr="00BE7D75">
        <w:rPr>
          <w:rFonts w:eastAsia="Times New Roman"/>
          <w:lang w:eastAsia="hr-HR"/>
        </w:rPr>
        <w:t>tijekom očekivanog vijeka potraživanja od kupaca, te je ova matrica usklađena s</w:t>
      </w:r>
      <w:r w:rsidRPr="00BE7D75">
        <w:rPr>
          <w:rFonts w:eastAsia="Times New Roman"/>
          <w:shd w:val="clear" w:color="auto" w:fill="FFFFFF"/>
          <w:lang w:eastAsia="hr-HR"/>
        </w:rPr>
        <w:t> </w:t>
      </w:r>
      <w:r w:rsidRPr="00BE7D75">
        <w:rPr>
          <w:rFonts w:eastAsia="Times New Roman"/>
          <w:b/>
          <w:bCs/>
          <w:bdr w:val="none" w:sz="0" w:space="0" w:color="auto" w:frame="1"/>
          <w:lang w:eastAsia="hr-HR"/>
        </w:rPr>
        <w:t>procjenama budućih tendencija</w:t>
      </w:r>
      <w:r w:rsidRPr="00BE7D75">
        <w:rPr>
          <w:rFonts w:eastAsia="Times New Roman"/>
          <w:lang w:eastAsia="hr-HR"/>
        </w:rPr>
        <w:t>.</w:t>
      </w:r>
    </w:p>
    <w:p w14:paraId="5E5354BE" w14:textId="77777777" w:rsidR="00BE7D75" w:rsidRPr="00BE7D75" w:rsidRDefault="00BE7D75" w:rsidP="00BE7D75">
      <w:pPr>
        <w:spacing w:after="0" w:line="240" w:lineRule="auto"/>
        <w:jc w:val="both"/>
        <w:rPr>
          <w:rFonts w:eastAsia="Times New Roman"/>
          <w:sz w:val="24"/>
          <w:szCs w:val="24"/>
          <w:lang w:eastAsia="hr-HR"/>
        </w:rPr>
      </w:pPr>
    </w:p>
    <w:p w14:paraId="3DE6E21A"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Da bi se moglo definirati ovo vrijednosno usklađenje potraživanja, koraci su sljedeći:</w:t>
      </w:r>
    </w:p>
    <w:p w14:paraId="5D7CDA8F" w14:textId="77777777" w:rsidR="00BE7D75" w:rsidRPr="00BE7D75" w:rsidRDefault="00BE7D75" w:rsidP="00BE7D75">
      <w:pPr>
        <w:spacing w:after="0" w:line="240" w:lineRule="auto"/>
        <w:jc w:val="both"/>
        <w:rPr>
          <w:rFonts w:eastAsia="Times New Roman"/>
          <w:sz w:val="24"/>
          <w:szCs w:val="24"/>
          <w:lang w:eastAsia="hr-HR"/>
        </w:rPr>
      </w:pPr>
    </w:p>
    <w:p w14:paraId="19D974FF"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1:</w:t>
      </w:r>
      <w:r w:rsidRPr="00BE7D75">
        <w:rPr>
          <w:rFonts w:eastAsia="Times New Roman"/>
          <w:lang w:eastAsia="hr-HR"/>
        </w:rPr>
        <w:t xml:space="preserve"> Određivanje odgovarajuće skupine potraživanja u kategorije obilježja zajedničkog kreditnog rizika</w:t>
      </w:r>
    </w:p>
    <w:p w14:paraId="466A1455"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2:</w:t>
      </w:r>
      <w:r w:rsidRPr="00BE7D75">
        <w:rPr>
          <w:rFonts w:eastAsia="Times New Roman"/>
          <w:lang w:eastAsia="hr-HR"/>
        </w:rPr>
        <w:t xml:space="preserve"> Određivanje razdoblja tijekom kojega se dobivaju povijesne stope gubitaka kako bi se definirala procjena očekivanih stopa budućih gubitaka</w:t>
      </w:r>
    </w:p>
    <w:p w14:paraId="6E9AD578"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3:</w:t>
      </w:r>
      <w:r w:rsidRPr="00BE7D75">
        <w:rPr>
          <w:rFonts w:eastAsia="Times New Roman"/>
          <w:lang w:eastAsia="hr-HR"/>
        </w:rPr>
        <w:t xml:space="preserve"> Određivanje povijesnih stopa gubitaka</w:t>
      </w:r>
    </w:p>
    <w:p w14:paraId="44FC5F92"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4</w:t>
      </w:r>
      <w:r w:rsidRPr="00BE7D75">
        <w:rPr>
          <w:rFonts w:eastAsia="Times New Roman"/>
          <w:lang w:eastAsia="hr-HR"/>
        </w:rPr>
        <w:t>: Razmatranje budućih ekonomskih čimbenika i prilagodba povijesnih stopa gubitaka</w:t>
      </w:r>
    </w:p>
    <w:p w14:paraId="20EB2B00"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5</w:t>
      </w:r>
      <w:r w:rsidRPr="00BE7D75">
        <w:rPr>
          <w:rFonts w:eastAsia="Times New Roman"/>
          <w:lang w:eastAsia="hr-HR"/>
        </w:rPr>
        <w:t>: Izračun očekivanih kreditnih gubitaka</w:t>
      </w:r>
    </w:p>
    <w:p w14:paraId="78DD52FF" w14:textId="77777777" w:rsidR="00BE7D75" w:rsidRPr="00BE7D75" w:rsidRDefault="00BE7D75" w:rsidP="00BE7D75">
      <w:pPr>
        <w:spacing w:after="0" w:line="240" w:lineRule="auto"/>
        <w:jc w:val="both"/>
        <w:rPr>
          <w:rFonts w:eastAsia="Times New Roman"/>
          <w:sz w:val="24"/>
          <w:szCs w:val="24"/>
          <w:lang w:eastAsia="hr-HR"/>
        </w:rPr>
      </w:pPr>
    </w:p>
    <w:p w14:paraId="5DC60316"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Detaljnije o svakom pojedinom koraku u nastavku:</w:t>
      </w:r>
    </w:p>
    <w:p w14:paraId="107145FA" w14:textId="77777777" w:rsidR="00BE7D75" w:rsidRPr="00BE7D75" w:rsidRDefault="00BE7D75" w:rsidP="00BE7D75">
      <w:pPr>
        <w:spacing w:after="0" w:line="240" w:lineRule="auto"/>
        <w:jc w:val="both"/>
        <w:rPr>
          <w:rFonts w:eastAsia="Times New Roman"/>
          <w:sz w:val="24"/>
          <w:szCs w:val="24"/>
          <w:lang w:eastAsia="hr-HR"/>
        </w:rPr>
      </w:pPr>
    </w:p>
    <w:p w14:paraId="64963945"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1: Određivanje odgovarajuće skupine potraživanja u kategorije obilježja zajedničkog kreditnog rizika</w:t>
      </w:r>
    </w:p>
    <w:p w14:paraId="722007C5" w14:textId="223C8E7E"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Ključan korak prilikom definiranja povijesnih stopa gubitaka vezanih uz otpise potraživanja od kupaca je definiranje </w:t>
      </w:r>
      <w:r w:rsidRPr="00BE7D75">
        <w:rPr>
          <w:rFonts w:eastAsia="Times New Roman"/>
          <w:b/>
          <w:bCs/>
          <w:lang w:eastAsia="hr-HR"/>
        </w:rPr>
        <w:t>pojedinih skupina potraživanja</w:t>
      </w:r>
      <w:r w:rsidRPr="00BE7D75">
        <w:rPr>
          <w:rFonts w:eastAsia="Times New Roman"/>
          <w:lang w:eastAsia="hr-HR"/>
        </w:rPr>
        <w:t>. Ispravno grupiranje dovesti će do različitih skupina potraživanja, koje imaju različite stope gubitaka. Tako primjerice potraživanja od povezanih društ</w:t>
      </w:r>
      <w:r w:rsidR="00BC4BA2">
        <w:rPr>
          <w:rFonts w:eastAsia="Times New Roman"/>
          <w:lang w:eastAsia="hr-HR"/>
        </w:rPr>
        <w:t>a</w:t>
      </w:r>
      <w:r w:rsidRPr="00BE7D75">
        <w:rPr>
          <w:rFonts w:eastAsia="Times New Roman"/>
          <w:lang w:eastAsia="hr-HR"/>
        </w:rPr>
        <w:t>va, posebice u situacijama kada je matično društvo financijski stabilno, dovesti će minimalnih gubitaka vezanih uz otpise potraživanja od kupaca. No, potraživanje od velikog broja malih pojedinačnih kupaca, za koje se ne zahtijeva avansna naplata, može dovesti do visokih iznosa gubitaka. Sa druge strane potraživanja od kupaca koja su osigurana kod osiguravajućih kuća, zbog činjenice da analizu kreditno</w:t>
      </w:r>
      <w:r w:rsidR="00BC4BA2">
        <w:rPr>
          <w:rFonts w:eastAsia="Times New Roman"/>
          <w:lang w:eastAsia="hr-HR"/>
        </w:rPr>
        <w:t>g</w:t>
      </w:r>
      <w:r w:rsidRPr="00BE7D75">
        <w:rPr>
          <w:rFonts w:eastAsia="Times New Roman"/>
          <w:lang w:eastAsia="hr-HR"/>
        </w:rPr>
        <w:t xml:space="preserve"> rizika radi osiguravajuća kuća </w:t>
      </w:r>
      <w:r w:rsidR="00A82BA9">
        <w:rPr>
          <w:rFonts w:eastAsia="Times New Roman"/>
          <w:lang w:eastAsia="hr-HR"/>
        </w:rPr>
        <w:t xml:space="preserve">koja </w:t>
      </w:r>
      <w:r w:rsidRPr="00BE7D75">
        <w:rPr>
          <w:rFonts w:eastAsia="Times New Roman"/>
          <w:lang w:eastAsia="hr-HR"/>
        </w:rPr>
        <w:t xml:space="preserve"> definira uvjete pod kojima može doći do isporuke (npr. maksimalni iznos kreditnog limita, obvezna naplata potraživanja u roku od 30 dana od datuma dospijeća računa i sl.) dovodi u pravilu do niskih iznosa gubitaka. </w:t>
      </w:r>
    </w:p>
    <w:p w14:paraId="51D70C7F" w14:textId="77777777" w:rsidR="00BE7D75" w:rsidRPr="00BE7D75" w:rsidRDefault="00BE7D75" w:rsidP="00BE7D75">
      <w:pPr>
        <w:spacing w:after="0" w:line="240" w:lineRule="auto"/>
        <w:jc w:val="both"/>
        <w:rPr>
          <w:rFonts w:eastAsia="Times New Roman"/>
          <w:sz w:val="24"/>
          <w:szCs w:val="24"/>
          <w:lang w:eastAsia="hr-HR"/>
        </w:rPr>
      </w:pPr>
    </w:p>
    <w:p w14:paraId="42074EC3"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Upravo zbog činjenice da različite kategorije kupaca dovode do različitih kreditnih rizika, a time i različitih stopa gubitaka, navedeno dovodi do ukupnih različitih iznosa u ovisnosti o saldu na pojedini datum bilance.</w:t>
      </w:r>
    </w:p>
    <w:p w14:paraId="2D655486" w14:textId="77777777" w:rsidR="00BE7D75" w:rsidRPr="00BE7D75" w:rsidRDefault="00BE7D75" w:rsidP="00BE7D75">
      <w:pPr>
        <w:spacing w:after="0" w:line="240" w:lineRule="auto"/>
        <w:jc w:val="both"/>
        <w:rPr>
          <w:rFonts w:eastAsia="Times New Roman"/>
          <w:sz w:val="24"/>
          <w:szCs w:val="24"/>
          <w:lang w:eastAsia="hr-HR"/>
        </w:rPr>
      </w:pPr>
    </w:p>
    <w:p w14:paraId="23686FAC"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Primjeri kriterija koji se mogu upotrijebiti za grupiranje potraživanja uključuju geografsku regiju, vrstu proizvoda, kreditni rejting klijenta, osiguranje kolaterala ili osiguranje trgovačkog kredita i vrstu kupca (npr. veleprodaja vs. maloprodaja). Prilikom definiranja grupiranja potraživanja ključno je da grupe imaju identične obrasce otpisa potraživanja.</w:t>
      </w:r>
    </w:p>
    <w:p w14:paraId="7890EEE6" w14:textId="77777777" w:rsidR="00BE7D75" w:rsidRPr="00BE7D75" w:rsidRDefault="00BE7D75" w:rsidP="00BE7D75">
      <w:pPr>
        <w:spacing w:after="0" w:line="240" w:lineRule="auto"/>
        <w:jc w:val="both"/>
        <w:rPr>
          <w:rFonts w:eastAsia="Times New Roman"/>
          <w:sz w:val="24"/>
          <w:szCs w:val="24"/>
          <w:lang w:eastAsia="hr-HR"/>
        </w:rPr>
      </w:pPr>
    </w:p>
    <w:p w14:paraId="6B29F074" w14:textId="77777777" w:rsidR="00BE7D75" w:rsidRPr="00BE7D75" w:rsidRDefault="00BE7D75" w:rsidP="00BE7D75">
      <w:pPr>
        <w:spacing w:after="0" w:line="240" w:lineRule="auto"/>
        <w:jc w:val="both"/>
        <w:rPr>
          <w:rFonts w:eastAsia="Times New Roman"/>
          <w:sz w:val="24"/>
          <w:szCs w:val="24"/>
          <w:lang w:eastAsia="hr-HR"/>
        </w:rPr>
      </w:pPr>
    </w:p>
    <w:p w14:paraId="42FA7891" w14:textId="083347BA"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2: Određivanj</w:t>
      </w:r>
      <w:r w:rsidR="00BC4BA2">
        <w:rPr>
          <w:rFonts w:eastAsia="Times New Roman"/>
          <w:b/>
          <w:bCs/>
          <w:lang w:eastAsia="hr-HR"/>
        </w:rPr>
        <w:t>e</w:t>
      </w:r>
      <w:r w:rsidRPr="00BE7D75">
        <w:rPr>
          <w:rFonts w:eastAsia="Times New Roman"/>
          <w:b/>
          <w:bCs/>
          <w:lang w:eastAsia="hr-HR"/>
        </w:rPr>
        <w:t xml:space="preserve"> razdoblja tijekom kojega se dobivaju povijesne stope gubitaka kako bi se definirala procjena očekivanih budućih gubitaka</w:t>
      </w:r>
    </w:p>
    <w:p w14:paraId="1DF03835"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Sama analiza povijesnih podataka u cilju definiranja </w:t>
      </w:r>
      <w:r w:rsidRPr="00BE7D75">
        <w:rPr>
          <w:rFonts w:eastAsia="Times New Roman"/>
          <w:b/>
          <w:bCs/>
          <w:lang w:eastAsia="hr-HR"/>
        </w:rPr>
        <w:t>povijesne stope gubitaka</w:t>
      </w:r>
      <w:r w:rsidRPr="00BE7D75">
        <w:rPr>
          <w:rFonts w:eastAsia="Times New Roman"/>
          <w:lang w:eastAsia="hr-HR"/>
        </w:rPr>
        <w:t>, trebala bi se provesti tijekom nekog duljeg razdoblja. U pravilu se u literaturi spominje razdoblje između 2-5 godina, kao mjerodavno razdoblje kvalitetne analize povijesnih gubitaka.</w:t>
      </w:r>
    </w:p>
    <w:p w14:paraId="23A90174" w14:textId="77777777" w:rsidR="00BE7D75" w:rsidRPr="00BE7D75" w:rsidRDefault="00BE7D75" w:rsidP="00BE7D75">
      <w:pPr>
        <w:spacing w:after="0" w:line="240" w:lineRule="auto"/>
        <w:jc w:val="both"/>
        <w:rPr>
          <w:rFonts w:eastAsia="Times New Roman"/>
          <w:sz w:val="24"/>
          <w:szCs w:val="24"/>
          <w:lang w:eastAsia="hr-HR"/>
        </w:rPr>
      </w:pPr>
    </w:p>
    <w:p w14:paraId="25A97B76" w14:textId="77777777" w:rsidR="00BE7D75" w:rsidRPr="00BE7D75" w:rsidRDefault="00BE7D75" w:rsidP="00BE7D75">
      <w:pPr>
        <w:spacing w:after="0" w:line="240" w:lineRule="auto"/>
        <w:jc w:val="both"/>
        <w:rPr>
          <w:rFonts w:eastAsia="Times New Roman"/>
          <w:sz w:val="24"/>
          <w:szCs w:val="24"/>
          <w:lang w:eastAsia="hr-HR"/>
        </w:rPr>
      </w:pPr>
    </w:p>
    <w:p w14:paraId="71F219CF"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3: Određivanje povijesnih stopa gubitaka</w:t>
      </w:r>
    </w:p>
    <w:p w14:paraId="6FD50006" w14:textId="4234F093"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Sam modalitet utvrđivanja povijesnih stopa gubitaka nije detaljno definiran odre</w:t>
      </w:r>
      <w:r w:rsidR="00BC4BA2">
        <w:rPr>
          <w:rFonts w:eastAsia="Times New Roman"/>
          <w:lang w:eastAsia="hr-HR"/>
        </w:rPr>
        <w:t>d</w:t>
      </w:r>
      <w:r w:rsidRPr="00BE7D75">
        <w:rPr>
          <w:rFonts w:eastAsia="Times New Roman"/>
          <w:lang w:eastAsia="hr-HR"/>
        </w:rPr>
        <w:t xml:space="preserve">bama </w:t>
      </w:r>
      <w:r w:rsidRPr="00BE7D75">
        <w:rPr>
          <w:rFonts w:eastAsia="Times New Roman"/>
          <w:i/>
          <w:iCs/>
          <w:lang w:eastAsia="hr-HR"/>
        </w:rPr>
        <w:t>MSFI 9 - Financijski instrumenti</w:t>
      </w:r>
      <w:r w:rsidRPr="00BE7D75">
        <w:rPr>
          <w:rFonts w:eastAsia="Times New Roman"/>
          <w:lang w:eastAsia="hr-HR"/>
        </w:rPr>
        <w:t>, odnosno ovaj MSFI ne daje detaljnije upute kako izračunati ove povijesne stope gubitaka. Stoga se u literaturi razvio model "</w:t>
      </w:r>
      <w:r w:rsidRPr="00BE7D75">
        <w:rPr>
          <w:rFonts w:eastAsia="Times New Roman"/>
          <w:b/>
          <w:bCs/>
          <w:i/>
          <w:iCs/>
          <w:lang w:eastAsia="hr-HR"/>
        </w:rPr>
        <w:t>matrice umanjenja vrijednosti</w:t>
      </w:r>
      <w:r w:rsidRPr="00BE7D75">
        <w:rPr>
          <w:rFonts w:eastAsia="Times New Roman"/>
          <w:lang w:eastAsia="hr-HR"/>
        </w:rPr>
        <w:t xml:space="preserve">", koji </w:t>
      </w:r>
      <w:r w:rsidR="00CA0250">
        <w:rPr>
          <w:rFonts w:eastAsia="Times New Roman"/>
          <w:lang w:eastAsia="hr-HR"/>
        </w:rPr>
        <w:t>polazi</w:t>
      </w:r>
      <w:r w:rsidR="00CA0250" w:rsidRPr="00BE7D75">
        <w:rPr>
          <w:rFonts w:eastAsia="Times New Roman"/>
          <w:lang w:eastAsia="hr-HR"/>
        </w:rPr>
        <w:t xml:space="preserve"> </w:t>
      </w:r>
      <w:r w:rsidRPr="00BE7D75">
        <w:rPr>
          <w:rFonts w:eastAsia="Times New Roman"/>
          <w:lang w:eastAsia="hr-HR"/>
        </w:rPr>
        <w:t xml:space="preserve">od </w:t>
      </w:r>
      <w:r w:rsidRPr="00BE7D75">
        <w:rPr>
          <w:rFonts w:eastAsia="Times New Roman"/>
          <w:lang w:eastAsia="hr-HR"/>
        </w:rPr>
        <w:lastRenderedPageBreak/>
        <w:t>analize ukupno nenaplaćene realizacije u odnosu  na ukupnu realizaciju (=fakturirani iznosi potraživanja od kupaca) tijekom nekog vremenskog razdoblja. </w:t>
      </w:r>
    </w:p>
    <w:p w14:paraId="596EE0B0" w14:textId="77777777" w:rsidR="00BE7D75" w:rsidRPr="00BE7D75" w:rsidRDefault="00BE7D75" w:rsidP="00BE7D75">
      <w:pPr>
        <w:spacing w:after="0" w:line="240" w:lineRule="auto"/>
        <w:jc w:val="both"/>
        <w:rPr>
          <w:rFonts w:eastAsia="Times New Roman"/>
          <w:sz w:val="24"/>
          <w:szCs w:val="24"/>
          <w:lang w:eastAsia="hr-HR"/>
        </w:rPr>
      </w:pPr>
    </w:p>
    <w:p w14:paraId="0DAE992E"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Navedeno podrazumijeva izračun nenaplaćenih računa tijekom nekog vremenskog razdoblja kada isti postaju nenaplativa kategorija. Iako nema adekvatne upute u MSFI-u, navedeno može uključivati:</w:t>
      </w:r>
    </w:p>
    <w:p w14:paraId="7E3739FF" w14:textId="77777777" w:rsidR="00BE7D75" w:rsidRPr="00BE7D75" w:rsidRDefault="00BE7D75" w:rsidP="00BE7D75">
      <w:pPr>
        <w:numPr>
          <w:ilvl w:val="0"/>
          <w:numId w:val="1"/>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kada postanemo svjesni nemogućnosti naplate potraživanja (npr. blokada poslovnog partnera, otvaranje predstečajnog / stečajnog postupka i sl.);</w:t>
      </w:r>
    </w:p>
    <w:p w14:paraId="27B8E5FF" w14:textId="77777777" w:rsidR="00BE7D75" w:rsidRPr="00BE7D75" w:rsidRDefault="00BE7D75" w:rsidP="00BE7D75">
      <w:pPr>
        <w:numPr>
          <w:ilvl w:val="0"/>
          <w:numId w:val="1"/>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kada po vlastitim poslovnim politikama predmetno potraživanje smatramo nenaplativo i zbog toga pokrećemo druge modalitete naplate (npr. utuženje).</w:t>
      </w:r>
    </w:p>
    <w:p w14:paraId="7B5C32F0" w14:textId="03FE20E8"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Na bazi ovakvog izračuna izrađuje se matrica umanjenja vrijednosti. Način izračuna matrice umanjenja vrijednosti dan je u primjeru u nastavku ovog materijala.</w:t>
      </w:r>
    </w:p>
    <w:p w14:paraId="1B1B1015" w14:textId="77777777" w:rsidR="00BE7D75" w:rsidRPr="00BE7D75" w:rsidRDefault="00BE7D75" w:rsidP="00BE7D75">
      <w:pPr>
        <w:spacing w:after="0" w:line="240" w:lineRule="auto"/>
        <w:jc w:val="both"/>
        <w:rPr>
          <w:rFonts w:eastAsia="Times New Roman"/>
          <w:sz w:val="24"/>
          <w:szCs w:val="24"/>
          <w:lang w:eastAsia="hr-HR"/>
        </w:rPr>
      </w:pPr>
    </w:p>
    <w:p w14:paraId="7844C8DF"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4: Razmatranje budućih ekonomskih čimbenika i prilagodba povijesnih stopa gubitaka</w:t>
      </w:r>
    </w:p>
    <w:p w14:paraId="01DB0BA7" w14:textId="47410E2B"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Utvrđene povijesne stope gubitaka iz Koraka 3 neophodno je još korigirati za </w:t>
      </w:r>
      <w:r w:rsidRPr="00BE7D75">
        <w:rPr>
          <w:rFonts w:eastAsia="Times New Roman"/>
          <w:b/>
          <w:bCs/>
          <w:lang w:eastAsia="hr-HR"/>
        </w:rPr>
        <w:t>razmatranja budućih ekonomskih čimbenika</w:t>
      </w:r>
      <w:r w:rsidRPr="00BE7D75">
        <w:rPr>
          <w:rFonts w:eastAsia="Times New Roman"/>
          <w:lang w:eastAsia="hr-HR"/>
        </w:rPr>
        <w:t>. Ključno je definirati da li su povijesne stope gubitaka nastale pod istim ekonomskim uvjetima koji su reprezentativni za one koje se očekuje da će postojati tije</w:t>
      </w:r>
      <w:r w:rsidR="00BC4BA2">
        <w:rPr>
          <w:rFonts w:eastAsia="Times New Roman"/>
          <w:lang w:eastAsia="hr-HR"/>
        </w:rPr>
        <w:t>k</w:t>
      </w:r>
      <w:r w:rsidRPr="00BE7D75">
        <w:rPr>
          <w:rFonts w:eastAsia="Times New Roman"/>
          <w:lang w:eastAsia="hr-HR"/>
        </w:rPr>
        <w:t>om budućih razdoblja. </w:t>
      </w:r>
    </w:p>
    <w:p w14:paraId="4B5AA3DD"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Za očekivati je da su povijesne stope gubitaka tijekom razdoblja krize veće od budućih gubitaka koji će nastati u prosperitetnom okruženju. Zbog toga je ključno napraviti eventualne korekcije na prethodno utvrđene povijesne stope gubitaka.</w:t>
      </w:r>
    </w:p>
    <w:p w14:paraId="6F4D36D7" w14:textId="1BC02870"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Zaključno, za očekivati je povećanje povijesnih stopa gubitaka u razdobljima očekivanja ekonomske krize, odnosno smanjenja povijesnih stopa gubitaka u situacijama prosperiteta. </w:t>
      </w:r>
    </w:p>
    <w:p w14:paraId="003DD9FC"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Identično kao i analiza povijesnih stopa gubitaka, i ove korekcije za buduće ekonomske čimbenike je bitno uzeti u obzir prilikom svakog datuma bilance (tj. na svaki datum izrade financijskih izvještaja).</w:t>
      </w:r>
    </w:p>
    <w:p w14:paraId="5FE04008" w14:textId="77777777" w:rsidR="00BE7D75" w:rsidRPr="00BE7D75" w:rsidRDefault="00BE7D75" w:rsidP="00BE7D75">
      <w:pPr>
        <w:spacing w:after="0" w:line="240" w:lineRule="auto"/>
        <w:jc w:val="both"/>
        <w:rPr>
          <w:rFonts w:eastAsia="Times New Roman"/>
          <w:sz w:val="24"/>
          <w:szCs w:val="24"/>
          <w:lang w:eastAsia="hr-HR"/>
        </w:rPr>
      </w:pPr>
    </w:p>
    <w:p w14:paraId="3905688C"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lang w:eastAsia="hr-HR"/>
        </w:rPr>
        <w:t>Korak 5: Izračun očekivanih kreditnih gubitaka</w:t>
      </w:r>
    </w:p>
    <w:p w14:paraId="1F888B78"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Sam izračun očekivanih kreditnih gubitaka bazira se na utvrđenim postocima umanjenja vrijednosti nakon eventualne povijesne stope gubitaka. Primjer jednog izračuna dan je u nastavku:</w:t>
      </w:r>
    </w:p>
    <w:p w14:paraId="545B2E71" w14:textId="77777777" w:rsidR="00BE7D75" w:rsidRPr="00BE7D75" w:rsidRDefault="00BE7D75" w:rsidP="00BE7D75">
      <w:pPr>
        <w:spacing w:after="0" w:line="240" w:lineRule="auto"/>
        <w:jc w:val="both"/>
        <w:rPr>
          <w:rFonts w:eastAsia="Times New Roman"/>
          <w:sz w:val="24"/>
          <w:szCs w:val="24"/>
          <w:lang w:eastAsia="hr-HR"/>
        </w:rPr>
      </w:pPr>
    </w:p>
    <w:p w14:paraId="49119990"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i/>
          <w:iCs/>
          <w:color w:val="E30000"/>
          <w:sz w:val="32"/>
          <w:szCs w:val="32"/>
          <w:lang w:eastAsia="hr-HR"/>
        </w:rPr>
        <w:t>Primjer:</w:t>
      </w:r>
    </w:p>
    <w:p w14:paraId="433D1476"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Poduzeće A d.o.o. tijekom 2018. godine ostvarilo je ukupnu fakturiranu realizaciju (prihod uvećan za PDV, koji je priznat kao potraživanje od kupaca) u visini od 55.000.000 HRK.  Analizirajući strukturu kupaca, ustanovljeno je da postoje sljedeće ključne cjeline:</w:t>
      </w:r>
    </w:p>
    <w:p w14:paraId="1946C2F8" w14:textId="77777777" w:rsidR="00BE7D75" w:rsidRPr="00BE7D75" w:rsidRDefault="00BE7D75" w:rsidP="00BE7D75">
      <w:pPr>
        <w:numPr>
          <w:ilvl w:val="0"/>
          <w:numId w:val="2"/>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 </w:t>
      </w:r>
      <w:r w:rsidRPr="00BE7D75">
        <w:rPr>
          <w:rFonts w:eastAsia="Times New Roman"/>
          <w:b/>
          <w:bCs/>
          <w:lang w:eastAsia="hr-HR"/>
        </w:rPr>
        <w:t>potraživanja od povezanih poduzeća</w:t>
      </w:r>
      <w:r w:rsidRPr="00BE7D75">
        <w:rPr>
          <w:rFonts w:eastAsia="Times New Roman"/>
          <w:lang w:eastAsia="hr-HR"/>
        </w:rPr>
        <w:t>, koja se povijesno u cijelosti naplaćuju, te za ista ne postoje rizici vezani uz nemogućnost naplate potraživanja;</w:t>
      </w:r>
    </w:p>
    <w:p w14:paraId="4AB25E3D" w14:textId="77777777" w:rsidR="00BE7D75" w:rsidRPr="00BE7D75" w:rsidRDefault="00BE7D75" w:rsidP="00BE7D75">
      <w:pPr>
        <w:numPr>
          <w:ilvl w:val="0"/>
          <w:numId w:val="2"/>
        </w:numPr>
        <w:spacing w:before="100" w:beforeAutospacing="1" w:after="100" w:afterAutospacing="1" w:line="240" w:lineRule="auto"/>
        <w:jc w:val="both"/>
        <w:rPr>
          <w:rFonts w:eastAsia="Times New Roman"/>
          <w:sz w:val="24"/>
          <w:szCs w:val="24"/>
          <w:lang w:eastAsia="hr-HR"/>
        </w:rPr>
      </w:pPr>
      <w:r w:rsidRPr="00BE7D75">
        <w:rPr>
          <w:rFonts w:eastAsia="Times New Roman"/>
          <w:b/>
          <w:bCs/>
          <w:lang w:eastAsia="hr-HR"/>
        </w:rPr>
        <w:t>potraživanja od ključnih kupaca (key accounts)</w:t>
      </w:r>
      <w:r w:rsidRPr="00BE7D75">
        <w:rPr>
          <w:rFonts w:eastAsia="Times New Roman"/>
          <w:lang w:eastAsia="hr-HR"/>
        </w:rPr>
        <w:t>, koja su osigurana od strane osiguravajućeg društva, te za koja za cjelokupnu fakturiranu realizaciju 2018. godine nije bilo nenaplaćenih potraživanja, te</w:t>
      </w:r>
    </w:p>
    <w:p w14:paraId="37D62234" w14:textId="77777777" w:rsidR="00BE7D75" w:rsidRPr="00BE7D75" w:rsidRDefault="00BE7D75" w:rsidP="00BE7D75">
      <w:pPr>
        <w:numPr>
          <w:ilvl w:val="0"/>
          <w:numId w:val="2"/>
        </w:numPr>
        <w:spacing w:before="100" w:beforeAutospacing="1" w:after="100" w:afterAutospacing="1" w:line="240" w:lineRule="auto"/>
        <w:jc w:val="both"/>
        <w:rPr>
          <w:rFonts w:eastAsia="Times New Roman"/>
          <w:sz w:val="24"/>
          <w:szCs w:val="24"/>
          <w:lang w:eastAsia="hr-HR"/>
        </w:rPr>
      </w:pPr>
      <w:r w:rsidRPr="00BE7D75">
        <w:rPr>
          <w:rFonts w:eastAsia="Times New Roman"/>
          <w:b/>
          <w:bCs/>
          <w:lang w:eastAsia="hr-HR"/>
        </w:rPr>
        <w:t>potraživanja od ostalih kupaca</w:t>
      </w:r>
      <w:r w:rsidRPr="00BE7D75">
        <w:rPr>
          <w:rFonts w:eastAsia="Times New Roman"/>
          <w:lang w:eastAsia="hr-HR"/>
        </w:rPr>
        <w:t>, za koja u pravilu poduzeće interno analizira potraživanja od kupaca, te definira kreditne rizike. Tijekom 2018. godine od ukupne realizacije nije naplaćen iznos od 250.000 HRK, za koje je poduzeće pokrenulo postupke prisilne naplate. </w:t>
      </w:r>
    </w:p>
    <w:p w14:paraId="2CEAE8C7" w14:textId="77777777" w:rsidR="00BE7D75" w:rsidRPr="00BE7D75" w:rsidRDefault="00BE7D75" w:rsidP="00BE7D75">
      <w:pPr>
        <w:spacing w:after="0" w:line="240" w:lineRule="auto"/>
        <w:jc w:val="both"/>
        <w:rPr>
          <w:rFonts w:eastAsia="Times New Roman"/>
          <w:sz w:val="24"/>
          <w:szCs w:val="24"/>
          <w:lang w:eastAsia="hr-HR"/>
        </w:rPr>
      </w:pPr>
    </w:p>
    <w:p w14:paraId="4AF0E37F" w14:textId="77777777" w:rsidR="00BE7D75" w:rsidRDefault="00BE7D75" w:rsidP="00BE7D75">
      <w:pPr>
        <w:spacing w:after="0" w:line="240" w:lineRule="auto"/>
        <w:jc w:val="both"/>
        <w:rPr>
          <w:rFonts w:eastAsia="Times New Roman"/>
          <w:lang w:eastAsia="hr-HR"/>
        </w:rPr>
      </w:pPr>
      <w:r w:rsidRPr="00BE7D75">
        <w:rPr>
          <w:rFonts w:eastAsia="Times New Roman"/>
          <w:lang w:eastAsia="hr-HR"/>
        </w:rPr>
        <w:t xml:space="preserve">Ukupna struktura fakturirane realizacije </w:t>
      </w:r>
      <w:r w:rsidRPr="00BE7D75">
        <w:rPr>
          <w:rFonts w:eastAsia="Times New Roman"/>
          <w:b/>
          <w:bCs/>
          <w:lang w:eastAsia="hr-HR"/>
        </w:rPr>
        <w:t>tijekom 2018. godine</w:t>
      </w:r>
      <w:r w:rsidRPr="00BE7D75">
        <w:rPr>
          <w:rFonts w:eastAsia="Times New Roman"/>
          <w:lang w:eastAsia="hr-HR"/>
        </w:rPr>
        <w:t xml:space="preserve"> po prethodno navedenim skupinama kupaca bila je sljedeća:</w:t>
      </w:r>
    </w:p>
    <w:p w14:paraId="16546ABD" w14:textId="77777777" w:rsidR="00BE7D75" w:rsidRDefault="00BE7D75" w:rsidP="00BE7D75">
      <w:pPr>
        <w:spacing w:after="0" w:line="240" w:lineRule="auto"/>
        <w:jc w:val="both"/>
        <w:rPr>
          <w:rFonts w:eastAsia="Times New Roman"/>
          <w:lang w:eastAsia="hr-HR"/>
        </w:rPr>
      </w:pPr>
    </w:p>
    <w:p w14:paraId="3F8F81D8" w14:textId="77777777" w:rsidR="00BE7D75" w:rsidRDefault="00BE7D75" w:rsidP="00BE7D75">
      <w:pPr>
        <w:spacing w:after="0" w:line="240" w:lineRule="auto"/>
        <w:jc w:val="both"/>
        <w:rPr>
          <w:rFonts w:eastAsia="Times New Roman"/>
          <w:lang w:eastAsia="hr-HR"/>
        </w:rPr>
      </w:pPr>
    </w:p>
    <w:p w14:paraId="7F75033F" w14:textId="77777777" w:rsidR="00BE7D75" w:rsidRDefault="00BE7D75" w:rsidP="00BE7D75">
      <w:pPr>
        <w:spacing w:after="0" w:line="240" w:lineRule="auto"/>
        <w:jc w:val="both"/>
        <w:rPr>
          <w:rFonts w:eastAsia="Times New Roman"/>
          <w:lang w:eastAsia="hr-HR"/>
        </w:rPr>
      </w:pPr>
    </w:p>
    <w:p w14:paraId="470A888A" w14:textId="77777777" w:rsidR="00BE7D75" w:rsidRDefault="00BE7D75" w:rsidP="00BE7D75">
      <w:pPr>
        <w:spacing w:after="0" w:line="240" w:lineRule="auto"/>
        <w:jc w:val="both"/>
        <w:rPr>
          <w:rFonts w:eastAsia="Times New Roman"/>
          <w:lang w:eastAsia="hr-HR"/>
        </w:rPr>
      </w:pPr>
    </w:p>
    <w:p w14:paraId="7A24EB53" w14:textId="77777777" w:rsidR="00BE7D75" w:rsidRPr="00BE7D75" w:rsidRDefault="00BE7D75" w:rsidP="00BE7D75">
      <w:pPr>
        <w:spacing w:after="0" w:line="240" w:lineRule="auto"/>
        <w:jc w:val="both"/>
        <w:rPr>
          <w:rFonts w:eastAsia="Times New Roman"/>
          <w:sz w:val="24"/>
          <w:szCs w:val="24"/>
          <w:lang w:eastAsia="hr-HR"/>
        </w:rPr>
      </w:pPr>
    </w:p>
    <w:p w14:paraId="7564BD25" w14:textId="77777777" w:rsidR="00BE7D75" w:rsidRPr="00BE7D75" w:rsidRDefault="00BE7D75" w:rsidP="00BE7D75">
      <w:pPr>
        <w:spacing w:after="0" w:line="240" w:lineRule="auto"/>
        <w:rPr>
          <w:rFonts w:eastAsia="Times New Roman"/>
          <w:sz w:val="24"/>
          <w:szCs w:val="24"/>
          <w:lang w:eastAsia="hr-HR"/>
        </w:rPr>
      </w:pPr>
    </w:p>
    <w:tbl>
      <w:tblPr>
        <w:tblW w:w="9990" w:type="dxa"/>
        <w:tblCellSpacing w:w="15" w:type="dxa"/>
        <w:tblCellMar>
          <w:top w:w="15" w:type="dxa"/>
          <w:left w:w="15" w:type="dxa"/>
          <w:bottom w:w="15" w:type="dxa"/>
          <w:right w:w="15" w:type="dxa"/>
        </w:tblCellMar>
        <w:tblLook w:val="04A0" w:firstRow="1" w:lastRow="0" w:firstColumn="1" w:lastColumn="0" w:noHBand="0" w:noVBand="1"/>
      </w:tblPr>
      <w:tblGrid>
        <w:gridCol w:w="1013"/>
        <w:gridCol w:w="3721"/>
        <w:gridCol w:w="3209"/>
        <w:gridCol w:w="2047"/>
      </w:tblGrid>
      <w:tr w:rsidR="00BE7D75" w:rsidRPr="00BE7D75" w14:paraId="690B8E43"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B92728"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Skupina:</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006F8"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Opis skupine: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81EF9"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Iznos realizacije u 2018. godini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93037"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Nenaplaćeni iznos:</w:t>
            </w:r>
          </w:p>
        </w:tc>
      </w:tr>
      <w:tr w:rsidR="00BE7D75" w:rsidRPr="00BE7D75" w14:paraId="7823CE43"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5D89D6"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DCD5A"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povezanim poduzećima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BE437"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EE8BF"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1D49E96C"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ACC93E"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10E63"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ključnim kupcima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1D50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25.000.000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5C74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690E18B1"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8CA1C9"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775C9"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ostalim kupcima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E6AB9"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118B8"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250.000</w:t>
            </w:r>
          </w:p>
        </w:tc>
      </w:tr>
      <w:tr w:rsidR="00BE7D75" w:rsidRPr="00BE7D75" w14:paraId="467C0F88" w14:textId="77777777" w:rsidTr="00BE7D75">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CD633F0"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b/>
                <w:bCs/>
                <w:sz w:val="20"/>
                <w:szCs w:val="20"/>
                <w:lang w:eastAsia="hr-HR"/>
              </w:rPr>
              <w:t>UKUPNO: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35EC6"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55.000.000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78A9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250.000</w:t>
            </w:r>
          </w:p>
        </w:tc>
      </w:tr>
    </w:tbl>
    <w:p w14:paraId="206C9DFD" w14:textId="77777777" w:rsidR="00BE7D75" w:rsidRDefault="00BE7D75" w:rsidP="00BE7D75">
      <w:pPr>
        <w:spacing w:after="0" w:line="240" w:lineRule="auto"/>
        <w:rPr>
          <w:rFonts w:eastAsia="Times New Roman"/>
          <w:sz w:val="21"/>
          <w:szCs w:val="21"/>
          <w:lang w:eastAsia="hr-HR"/>
        </w:rPr>
      </w:pPr>
    </w:p>
    <w:p w14:paraId="01F5B4A0" w14:textId="77777777" w:rsidR="00BE7D75" w:rsidRDefault="00BE7D75" w:rsidP="00BE7D75">
      <w:pPr>
        <w:spacing w:after="0" w:line="240" w:lineRule="auto"/>
        <w:jc w:val="both"/>
        <w:rPr>
          <w:rFonts w:eastAsia="Times New Roman"/>
          <w:sz w:val="21"/>
          <w:szCs w:val="21"/>
          <w:lang w:eastAsia="hr-HR"/>
        </w:rPr>
      </w:pPr>
      <w:r w:rsidRPr="00BE7D75">
        <w:rPr>
          <w:rFonts w:eastAsia="Times New Roman"/>
          <w:sz w:val="21"/>
          <w:szCs w:val="21"/>
          <w:lang w:eastAsia="hr-HR"/>
        </w:rPr>
        <w:t>Identično strukturiranje fakturirane realizacije napravljeno je i za usporedne, 2016. i 2017. godinu., te su podaci sljedeći:</w:t>
      </w:r>
    </w:p>
    <w:p w14:paraId="4A1F1D11" w14:textId="77777777" w:rsidR="00BE7D75" w:rsidRPr="00BE7D75" w:rsidRDefault="00BE7D75" w:rsidP="00BE7D75">
      <w:pPr>
        <w:spacing w:after="0" w:line="240" w:lineRule="auto"/>
        <w:jc w:val="both"/>
        <w:rPr>
          <w:rFonts w:eastAsia="Times New Roman"/>
          <w:sz w:val="24"/>
          <w:szCs w:val="24"/>
          <w:lang w:eastAsia="hr-HR"/>
        </w:rPr>
      </w:pPr>
    </w:p>
    <w:p w14:paraId="26AADED6"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b/>
          <w:bCs/>
          <w:i/>
          <w:iCs/>
          <w:sz w:val="21"/>
          <w:szCs w:val="21"/>
          <w:lang w:eastAsia="hr-HR"/>
        </w:rPr>
        <w:t>u 2017. godini</w:t>
      </w:r>
    </w:p>
    <w:tbl>
      <w:tblPr>
        <w:tblW w:w="9960" w:type="dxa"/>
        <w:tblCellSpacing w:w="15" w:type="dxa"/>
        <w:tblCellMar>
          <w:top w:w="15" w:type="dxa"/>
          <w:left w:w="15" w:type="dxa"/>
          <w:bottom w:w="15" w:type="dxa"/>
          <w:right w:w="15" w:type="dxa"/>
        </w:tblCellMar>
        <w:tblLook w:val="04A0" w:firstRow="1" w:lastRow="0" w:firstColumn="1" w:lastColumn="0" w:noHBand="0" w:noVBand="1"/>
      </w:tblPr>
      <w:tblGrid>
        <w:gridCol w:w="1010"/>
        <w:gridCol w:w="3709"/>
        <w:gridCol w:w="3200"/>
        <w:gridCol w:w="2041"/>
      </w:tblGrid>
      <w:tr w:rsidR="00BE7D75" w:rsidRPr="00BE7D75" w14:paraId="0673FE34"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04337111"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Skupina: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4854AEE"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Opis skupine:</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8985750"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Iznos realizacije u 2017. godini</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75A8383"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Nenaplaćeni iznos:</w:t>
            </w:r>
          </w:p>
        </w:tc>
      </w:tr>
      <w:tr w:rsidR="00BE7D75" w:rsidRPr="00BE7D75" w14:paraId="2D433C1B"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AEBBA8D"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1.</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0608CC3"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povezanim poduzećima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304F10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7.000.000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F9E76DF"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646881F2"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0765A25E"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2.</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112995B"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ključnim kupcima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192348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0F57A7B"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6657A0C5"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184E02C6"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3.</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3CD2D6A"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ostalim kupcima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153F9E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18.000.000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DA7B856"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50.000</w:t>
            </w:r>
          </w:p>
        </w:tc>
      </w:tr>
      <w:tr w:rsidR="00BE7D75" w:rsidRPr="00BE7D75" w14:paraId="19F3B569" w14:textId="77777777" w:rsidTr="00BE7D75">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vAlign w:val="center"/>
            <w:hideMark/>
          </w:tcPr>
          <w:p w14:paraId="4ABF8420"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b/>
                <w:bCs/>
                <w:sz w:val="20"/>
                <w:szCs w:val="20"/>
                <w:lang w:eastAsia="hr-HR"/>
              </w:rPr>
              <w:t>UKUPNO:</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03CA24F"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45.000.000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12B6CA5"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50.000</w:t>
            </w:r>
          </w:p>
        </w:tc>
      </w:tr>
    </w:tbl>
    <w:p w14:paraId="35832ADA" w14:textId="77777777" w:rsidR="00BE7D75" w:rsidRDefault="00BE7D75" w:rsidP="00BE7D75">
      <w:pPr>
        <w:spacing w:after="0" w:line="240" w:lineRule="auto"/>
        <w:rPr>
          <w:rFonts w:eastAsia="Times New Roman"/>
          <w:b/>
          <w:bCs/>
          <w:i/>
          <w:iCs/>
          <w:sz w:val="21"/>
          <w:szCs w:val="21"/>
          <w:lang w:eastAsia="hr-HR"/>
        </w:rPr>
      </w:pPr>
    </w:p>
    <w:p w14:paraId="040FBF65"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b/>
          <w:bCs/>
          <w:i/>
          <w:iCs/>
          <w:sz w:val="21"/>
          <w:szCs w:val="21"/>
          <w:lang w:eastAsia="hr-HR"/>
        </w:rPr>
        <w:t>u 2016. godini</w:t>
      </w:r>
    </w:p>
    <w:tbl>
      <w:tblPr>
        <w:tblW w:w="9960" w:type="dxa"/>
        <w:tblCellSpacing w:w="15" w:type="dxa"/>
        <w:tblCellMar>
          <w:top w:w="15" w:type="dxa"/>
          <w:left w:w="15" w:type="dxa"/>
          <w:bottom w:w="15" w:type="dxa"/>
          <w:right w:w="15" w:type="dxa"/>
        </w:tblCellMar>
        <w:tblLook w:val="04A0" w:firstRow="1" w:lastRow="0" w:firstColumn="1" w:lastColumn="0" w:noHBand="0" w:noVBand="1"/>
      </w:tblPr>
      <w:tblGrid>
        <w:gridCol w:w="1010"/>
        <w:gridCol w:w="3709"/>
        <w:gridCol w:w="3200"/>
        <w:gridCol w:w="2041"/>
      </w:tblGrid>
      <w:tr w:rsidR="00BE7D75" w:rsidRPr="00BE7D75" w14:paraId="5CC795C5"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6B2E4321"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Skupina: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8D24717"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Opis skupine:</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5FE322B"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Iznos realizacije u 2016. godini</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D77C47"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Nenaplaćeni iznos:</w:t>
            </w:r>
          </w:p>
        </w:tc>
      </w:tr>
      <w:tr w:rsidR="00BE7D75" w:rsidRPr="00BE7D75" w14:paraId="384218B7"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6FC98892"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1.</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189395C"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povezanim poduzećima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86A3CB0"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EA7039B"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71DD8432"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5ABB024A"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2.</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53BA9B"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ključnim kupcima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E2AB176"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6E6DDF2"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5F40D81D"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5A2578F5"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3.</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A9E4683"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ostalim kupcima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50404ED"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15.000.000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63DE32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w:t>
            </w:r>
          </w:p>
        </w:tc>
      </w:tr>
      <w:tr w:rsidR="00BE7D75" w:rsidRPr="00BE7D75" w14:paraId="07C3ACAD" w14:textId="77777777" w:rsidTr="00BE7D75">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vAlign w:val="center"/>
            <w:hideMark/>
          </w:tcPr>
          <w:p w14:paraId="55AFB52A"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b/>
                <w:bCs/>
                <w:sz w:val="20"/>
                <w:szCs w:val="20"/>
                <w:lang w:eastAsia="hr-HR"/>
              </w:rPr>
              <w:t>UKUPNO:</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0C5E3E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40.000.000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C5C28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100.000</w:t>
            </w:r>
          </w:p>
        </w:tc>
      </w:tr>
    </w:tbl>
    <w:p w14:paraId="78C42C34" w14:textId="77777777" w:rsidR="00BE7D75" w:rsidRPr="00BE7D75" w:rsidRDefault="00BE7D75" w:rsidP="00BE7D75">
      <w:pPr>
        <w:spacing w:after="0" w:line="240" w:lineRule="auto"/>
        <w:rPr>
          <w:rFonts w:eastAsia="Times New Roman"/>
          <w:sz w:val="24"/>
          <w:szCs w:val="24"/>
          <w:lang w:eastAsia="hr-HR"/>
        </w:rPr>
      </w:pPr>
    </w:p>
    <w:p w14:paraId="18E0D269" w14:textId="77777777" w:rsidR="00BE7D75" w:rsidRDefault="00BE7D75" w:rsidP="00BE7D75">
      <w:pPr>
        <w:spacing w:after="0" w:line="240" w:lineRule="auto"/>
        <w:rPr>
          <w:rFonts w:eastAsia="Times New Roman"/>
          <w:lang w:eastAsia="hr-HR"/>
        </w:rPr>
      </w:pPr>
      <w:r w:rsidRPr="00BE7D75">
        <w:rPr>
          <w:rFonts w:eastAsia="Times New Roman"/>
          <w:sz w:val="24"/>
          <w:szCs w:val="24"/>
          <w:lang w:eastAsia="hr-HR"/>
        </w:rPr>
        <w:t> </w:t>
      </w:r>
      <w:r w:rsidRPr="00BE7D75">
        <w:rPr>
          <w:rFonts w:eastAsia="Times New Roman"/>
          <w:lang w:eastAsia="hr-HR"/>
        </w:rPr>
        <w:t>U konačnici, iz predmetne strukture fakturirane realizacije proizlazi kumulativno sljedeći izračun:</w:t>
      </w:r>
    </w:p>
    <w:p w14:paraId="03F4C204" w14:textId="77777777" w:rsidR="00BE7D75" w:rsidRPr="00BE7D75" w:rsidRDefault="00BE7D75" w:rsidP="00BE7D75">
      <w:pPr>
        <w:spacing w:after="0" w:line="240" w:lineRule="auto"/>
        <w:rPr>
          <w:rFonts w:eastAsia="Times New Roman"/>
          <w:sz w:val="24"/>
          <w:szCs w:val="24"/>
          <w:lang w:eastAsia="hr-HR"/>
        </w:rPr>
      </w:pPr>
    </w:p>
    <w:tbl>
      <w:tblPr>
        <w:tblW w:w="9960" w:type="dxa"/>
        <w:tblCellSpacing w:w="15" w:type="dxa"/>
        <w:tblCellMar>
          <w:top w:w="15" w:type="dxa"/>
          <w:left w:w="15" w:type="dxa"/>
          <w:bottom w:w="15" w:type="dxa"/>
          <w:right w:w="15" w:type="dxa"/>
        </w:tblCellMar>
        <w:tblLook w:val="04A0" w:firstRow="1" w:lastRow="0" w:firstColumn="1" w:lastColumn="0" w:noHBand="0" w:noVBand="1"/>
      </w:tblPr>
      <w:tblGrid>
        <w:gridCol w:w="950"/>
        <w:gridCol w:w="3452"/>
        <w:gridCol w:w="3649"/>
        <w:gridCol w:w="1909"/>
      </w:tblGrid>
      <w:tr w:rsidR="00BE7D75" w:rsidRPr="00BE7D75" w14:paraId="750BD6CC"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5FC3CBF3"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Skupina: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5740177"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Opis skupine:</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E692A69"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Iznos realizacije u 2016. - 2018. godini</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38D0BD6"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Nenaplaćeni iznos:</w:t>
            </w:r>
          </w:p>
        </w:tc>
      </w:tr>
      <w:tr w:rsidR="00BE7D75" w:rsidRPr="00BE7D75" w14:paraId="1D132E0E"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623C49F1"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1.</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DED89E1"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povezanim poduzećima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CCF42B8"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22.000.000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63F7FB6"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3D72D2CC"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03DA86C3"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2.</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17098BD"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ključnim kupcima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7A089D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65.000.000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4D3D3D8"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w:t>
            </w:r>
          </w:p>
        </w:tc>
      </w:tr>
      <w:tr w:rsidR="00BE7D75" w:rsidRPr="00BE7D75" w14:paraId="153BE38D" w14:textId="77777777" w:rsidTr="00BE7D75">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14:paraId="790DA0F7"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sz w:val="20"/>
                <w:szCs w:val="20"/>
                <w:lang w:eastAsia="hr-HR"/>
              </w:rPr>
              <w:t>3.</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AE5212A"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Realizacija sa ostalim kupcima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35FE6E"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53.000.000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96EA85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r>
      <w:tr w:rsidR="00BE7D75" w:rsidRPr="00BE7D75" w14:paraId="2038632B" w14:textId="77777777" w:rsidTr="00BE7D75">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vAlign w:val="center"/>
            <w:hideMark/>
          </w:tcPr>
          <w:p w14:paraId="35954D93"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b/>
                <w:bCs/>
                <w:sz w:val="20"/>
                <w:szCs w:val="20"/>
                <w:lang w:eastAsia="hr-HR"/>
              </w:rPr>
              <w:t>UKUPNO:</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BCDC077"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140.000.000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F5D7AAF"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b/>
                <w:bCs/>
                <w:sz w:val="20"/>
                <w:szCs w:val="20"/>
                <w:lang w:eastAsia="hr-HR"/>
              </w:rPr>
              <w:t>400.000</w:t>
            </w:r>
          </w:p>
        </w:tc>
      </w:tr>
    </w:tbl>
    <w:p w14:paraId="2E412910" w14:textId="77777777" w:rsidR="00BE7D75" w:rsidRDefault="00BE7D75" w:rsidP="00BE7D75">
      <w:pPr>
        <w:spacing w:after="0" w:line="240" w:lineRule="auto"/>
        <w:jc w:val="both"/>
        <w:rPr>
          <w:rFonts w:eastAsia="Times New Roman"/>
          <w:lang w:eastAsia="hr-HR"/>
        </w:rPr>
      </w:pPr>
    </w:p>
    <w:p w14:paraId="14D10662"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Ukupno, analizirajući realizaciju sa </w:t>
      </w:r>
      <w:r w:rsidRPr="00BE7D75">
        <w:rPr>
          <w:rFonts w:eastAsia="Times New Roman"/>
          <w:i/>
          <w:iCs/>
          <w:lang w:eastAsia="hr-HR"/>
        </w:rPr>
        <w:t>ostalim kupcima</w:t>
      </w:r>
      <w:r w:rsidRPr="00BE7D75">
        <w:rPr>
          <w:rFonts w:eastAsia="Times New Roman"/>
          <w:lang w:eastAsia="hr-HR"/>
        </w:rPr>
        <w:t xml:space="preserve"> dolazimo do iznosa nenaplativih potraživanja u visini od 0,75% (=400.000 HRK / 53.000.000 HRK).</w:t>
      </w:r>
    </w:p>
    <w:p w14:paraId="31EEA097" w14:textId="77777777" w:rsidR="00BE7D75" w:rsidRPr="00BE7D75" w:rsidRDefault="00BE7D75" w:rsidP="00BE7D75">
      <w:pPr>
        <w:spacing w:after="0" w:line="240" w:lineRule="auto"/>
        <w:jc w:val="both"/>
        <w:rPr>
          <w:rFonts w:eastAsia="Times New Roman"/>
          <w:sz w:val="24"/>
          <w:szCs w:val="24"/>
          <w:lang w:eastAsia="hr-HR"/>
        </w:rPr>
      </w:pPr>
    </w:p>
    <w:p w14:paraId="2A93832B" w14:textId="56CBF795"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Kao što je prethodno i navedeno, ovi izračuni </w:t>
      </w:r>
      <w:r w:rsidRPr="00F1736B">
        <w:rPr>
          <w:rFonts w:eastAsia="Times New Roman"/>
          <w:lang w:eastAsia="hr-HR"/>
        </w:rPr>
        <w:t>n</w:t>
      </w:r>
      <w:r w:rsidR="00BC4BA2" w:rsidRPr="00F1736B">
        <w:rPr>
          <w:rFonts w:eastAsia="Times New Roman"/>
          <w:lang w:eastAsia="hr-HR"/>
        </w:rPr>
        <w:t>e</w:t>
      </w:r>
      <w:r w:rsidRPr="00F1736B">
        <w:rPr>
          <w:rFonts w:eastAsia="Times New Roman"/>
          <w:lang w:eastAsia="hr-HR"/>
        </w:rPr>
        <w:t>naplaćenih</w:t>
      </w:r>
      <w:r w:rsidRPr="00BE7D75">
        <w:rPr>
          <w:rFonts w:eastAsia="Times New Roman"/>
          <w:lang w:eastAsia="hr-HR"/>
        </w:rPr>
        <w:t xml:space="preserve"> potraživanja </w:t>
      </w:r>
      <w:r w:rsidRPr="00BE7D75">
        <w:rPr>
          <w:rFonts w:eastAsia="Times New Roman"/>
          <w:b/>
          <w:bCs/>
          <w:lang w:eastAsia="hr-HR"/>
        </w:rPr>
        <w:t>utvrđuju se na bazi fakturirane realizacije</w:t>
      </w:r>
      <w:r w:rsidRPr="00BE7D75">
        <w:rPr>
          <w:rFonts w:eastAsia="Times New Roman"/>
          <w:lang w:eastAsia="hr-HR"/>
        </w:rPr>
        <w:t xml:space="preserve">, a </w:t>
      </w:r>
      <w:r w:rsidRPr="00BE7D75">
        <w:rPr>
          <w:rFonts w:eastAsia="Times New Roman"/>
          <w:u w:val="single"/>
          <w:lang w:eastAsia="hr-HR"/>
        </w:rPr>
        <w:t>ne</w:t>
      </w:r>
      <w:r w:rsidRPr="00BE7D75">
        <w:rPr>
          <w:rFonts w:eastAsia="Times New Roman"/>
          <w:lang w:eastAsia="hr-HR"/>
        </w:rPr>
        <w:t xml:space="preserve"> na bazi salda na određeni datum bilance. Dakle, neophodno je pratiti ova potraživanja i nakon samog datuma bilance.</w:t>
      </w:r>
    </w:p>
    <w:p w14:paraId="781BD8F1" w14:textId="77777777" w:rsidR="00BE7D75" w:rsidRPr="00BE7D75" w:rsidRDefault="00BE7D75" w:rsidP="00BE7D75">
      <w:pPr>
        <w:spacing w:after="0" w:line="240" w:lineRule="auto"/>
        <w:jc w:val="both"/>
        <w:rPr>
          <w:rFonts w:eastAsia="Times New Roman"/>
          <w:sz w:val="24"/>
          <w:szCs w:val="24"/>
          <w:lang w:eastAsia="hr-HR"/>
        </w:rPr>
      </w:pPr>
    </w:p>
    <w:p w14:paraId="5F5E8AF6" w14:textId="3C057F50" w:rsidR="00BE7D75" w:rsidRDefault="00BE7D75" w:rsidP="00BE7D75">
      <w:pPr>
        <w:spacing w:after="0" w:line="240" w:lineRule="auto"/>
        <w:jc w:val="both"/>
        <w:rPr>
          <w:rFonts w:eastAsia="Times New Roman"/>
          <w:lang w:eastAsia="hr-HR"/>
        </w:rPr>
      </w:pPr>
      <w:r w:rsidRPr="00BE7D75">
        <w:rPr>
          <w:rFonts w:eastAsia="Times New Roman"/>
          <w:lang w:eastAsia="hr-HR"/>
        </w:rPr>
        <w:t>Sljedeći korak je izračun matrice umanjenja vrijednosti koj</w:t>
      </w:r>
      <w:r w:rsidR="00CA0250">
        <w:rPr>
          <w:rFonts w:eastAsia="Times New Roman"/>
          <w:lang w:eastAsia="hr-HR"/>
        </w:rPr>
        <w:t>i</w:t>
      </w:r>
      <w:r w:rsidRPr="00BE7D75">
        <w:rPr>
          <w:rFonts w:eastAsia="Times New Roman"/>
          <w:lang w:eastAsia="hr-HR"/>
        </w:rPr>
        <w:t xml:space="preserve"> se bazira na modalitetu naplate potraživanja, ali isključivo za realizaciju sa ostalim kupcima, budući da je već prethodno utvrđeno da samo ova kategorija predstavlja potencijalno rizičnu kategoriju. </w:t>
      </w:r>
    </w:p>
    <w:p w14:paraId="4905F17C" w14:textId="77777777" w:rsidR="00BE7D75" w:rsidRDefault="00BE7D75" w:rsidP="00BE7D75">
      <w:pPr>
        <w:spacing w:after="0" w:line="240" w:lineRule="auto"/>
        <w:jc w:val="both"/>
        <w:rPr>
          <w:rFonts w:eastAsia="Times New Roman"/>
          <w:lang w:eastAsia="hr-HR"/>
        </w:rPr>
      </w:pPr>
    </w:p>
    <w:p w14:paraId="040DEE07" w14:textId="77777777" w:rsidR="00BE7D75" w:rsidRDefault="00BE7D75" w:rsidP="00BE7D75">
      <w:pPr>
        <w:spacing w:after="0" w:line="240" w:lineRule="auto"/>
        <w:jc w:val="both"/>
        <w:rPr>
          <w:rFonts w:eastAsia="Times New Roman"/>
          <w:lang w:eastAsia="hr-HR"/>
        </w:rPr>
      </w:pPr>
    </w:p>
    <w:p w14:paraId="25713D10" w14:textId="77777777" w:rsidR="00BE7D75" w:rsidRDefault="00BE7D75" w:rsidP="00BE7D75">
      <w:pPr>
        <w:spacing w:after="0" w:line="240" w:lineRule="auto"/>
        <w:jc w:val="both"/>
        <w:rPr>
          <w:rFonts w:eastAsia="Times New Roman"/>
          <w:lang w:eastAsia="hr-HR"/>
        </w:rPr>
      </w:pPr>
    </w:p>
    <w:p w14:paraId="04406356" w14:textId="77777777" w:rsidR="00BE7D75" w:rsidRDefault="00BE7D75" w:rsidP="00BE7D75">
      <w:pPr>
        <w:spacing w:after="0" w:line="240" w:lineRule="auto"/>
        <w:jc w:val="both"/>
        <w:rPr>
          <w:rFonts w:eastAsia="Times New Roman"/>
          <w:lang w:eastAsia="hr-HR"/>
        </w:rPr>
      </w:pPr>
    </w:p>
    <w:p w14:paraId="352F8986" w14:textId="77777777" w:rsidR="00BE7D75" w:rsidRDefault="00BE7D75" w:rsidP="00BE7D75">
      <w:pPr>
        <w:spacing w:after="0" w:line="240" w:lineRule="auto"/>
        <w:jc w:val="both"/>
        <w:rPr>
          <w:rFonts w:eastAsia="Times New Roman"/>
          <w:lang w:eastAsia="hr-HR"/>
        </w:rPr>
      </w:pPr>
    </w:p>
    <w:p w14:paraId="7BBBA4C1" w14:textId="77777777" w:rsidR="00BE7D75" w:rsidRDefault="00BE7D75" w:rsidP="00BE7D75">
      <w:pPr>
        <w:spacing w:after="0" w:line="240" w:lineRule="auto"/>
        <w:jc w:val="both"/>
        <w:rPr>
          <w:rFonts w:eastAsia="Times New Roman"/>
          <w:lang w:eastAsia="hr-HR"/>
        </w:rPr>
      </w:pPr>
    </w:p>
    <w:p w14:paraId="68AC8077" w14:textId="77777777" w:rsidR="00BE7D75" w:rsidRPr="00BE7D75" w:rsidRDefault="00BE7D75" w:rsidP="00BE7D75">
      <w:pPr>
        <w:spacing w:after="0" w:line="240" w:lineRule="auto"/>
        <w:jc w:val="both"/>
        <w:rPr>
          <w:rFonts w:eastAsia="Times New Roman"/>
          <w:sz w:val="24"/>
          <w:szCs w:val="24"/>
          <w:lang w:eastAsia="hr-HR"/>
        </w:rPr>
      </w:pPr>
    </w:p>
    <w:p w14:paraId="3CC934EA" w14:textId="77777777" w:rsidR="00BE7D75" w:rsidRPr="00BE7D75" w:rsidRDefault="00BE7D75" w:rsidP="00BE7D75">
      <w:pPr>
        <w:spacing w:after="0" w:line="240" w:lineRule="auto"/>
        <w:jc w:val="both"/>
        <w:rPr>
          <w:rFonts w:eastAsia="Times New Roman"/>
          <w:sz w:val="24"/>
          <w:szCs w:val="24"/>
          <w:lang w:eastAsia="hr-HR"/>
        </w:rPr>
      </w:pPr>
    </w:p>
    <w:tbl>
      <w:tblPr>
        <w:tblW w:w="7800" w:type="dxa"/>
        <w:tblCellSpacing w:w="15" w:type="dxa"/>
        <w:tblCellMar>
          <w:top w:w="15" w:type="dxa"/>
          <w:left w:w="15" w:type="dxa"/>
          <w:bottom w:w="15" w:type="dxa"/>
          <w:right w:w="15" w:type="dxa"/>
        </w:tblCellMar>
        <w:tblLook w:val="04A0" w:firstRow="1" w:lastRow="0" w:firstColumn="1" w:lastColumn="0" w:noHBand="0" w:noVBand="1"/>
      </w:tblPr>
      <w:tblGrid>
        <w:gridCol w:w="2063"/>
        <w:gridCol w:w="1947"/>
        <w:gridCol w:w="1771"/>
        <w:gridCol w:w="2019"/>
      </w:tblGrid>
      <w:tr w:rsidR="00BE7D75" w:rsidRPr="00BE7D75" w14:paraId="01922360"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FFCD20"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Razdoblje naplate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D0F7B"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Ukupni iznos fakturirane realizacije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7A6C4"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Naplaćeno u razdoblju naplate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5992D" w14:textId="77777777" w:rsidR="00BE7D75" w:rsidRPr="00BE7D75" w:rsidRDefault="00BE7D75" w:rsidP="00BE7D75">
            <w:pPr>
              <w:spacing w:after="0" w:line="240" w:lineRule="auto"/>
              <w:jc w:val="center"/>
              <w:rPr>
                <w:rFonts w:eastAsia="Times New Roman"/>
                <w:sz w:val="24"/>
                <w:szCs w:val="24"/>
                <w:lang w:eastAsia="hr-HR"/>
              </w:rPr>
            </w:pPr>
            <w:r w:rsidRPr="00BE7D75">
              <w:rPr>
                <w:rFonts w:eastAsia="Times New Roman"/>
                <w:b/>
                <w:bCs/>
                <w:sz w:val="20"/>
                <w:szCs w:val="20"/>
                <w:lang w:eastAsia="hr-HR"/>
              </w:rPr>
              <w:t>Nenaplaćeno u razdoblju naplate</w:t>
            </w:r>
          </w:p>
        </w:tc>
      </w:tr>
      <w:tr w:rsidR="00BE7D75" w:rsidRPr="00BE7D75" w14:paraId="6D4016F8"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63CD0D"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do dospijeća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E47E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53.000.000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89E70"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18.000.000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319C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35.000.000</w:t>
            </w:r>
          </w:p>
        </w:tc>
      </w:tr>
      <w:tr w:rsidR="00BE7D75" w:rsidRPr="00BE7D75" w14:paraId="376640E6"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BE0CB9"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u roku od 30 dana od datuma dospijeća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AECF2"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35.000.000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0F4A8"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25.000.000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6848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10.000.000</w:t>
            </w:r>
          </w:p>
        </w:tc>
      </w:tr>
      <w:tr w:rsidR="00BE7D75" w:rsidRPr="00BE7D75" w14:paraId="6BB99917"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D490F1"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u roku od 60 dana od datuma dospijeća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9622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6CAD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7.000.000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0195A"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3.000.000</w:t>
            </w:r>
          </w:p>
        </w:tc>
      </w:tr>
      <w:tr w:rsidR="00BE7D75" w:rsidRPr="00BE7D75" w14:paraId="1FE72D87"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32E9E3"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u roku od od 90 dana od datuma dospijeća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37DE9"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3.000.000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22252"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2B72F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2.000.000</w:t>
            </w:r>
          </w:p>
        </w:tc>
      </w:tr>
      <w:tr w:rsidR="00BE7D75" w:rsidRPr="00BE7D75" w14:paraId="2EB9FF55"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CA50D0"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u roku od 120 dana od datuma dospijeća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AFAF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A2FBF"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67958"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500.000</w:t>
            </w:r>
          </w:p>
        </w:tc>
      </w:tr>
      <w:tr w:rsidR="00BE7D75" w:rsidRPr="00BE7D75" w14:paraId="712AC9FD" w14:textId="77777777" w:rsidTr="00BE7D7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853BF8"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u roku od 180 dana od datuma dospijeća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A55A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41F10"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88247"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r>
    </w:tbl>
    <w:p w14:paraId="1193D3D7" w14:textId="77777777" w:rsidR="00BE7D75" w:rsidRDefault="00BE7D75" w:rsidP="00BE7D75">
      <w:pPr>
        <w:spacing w:after="0" w:line="240" w:lineRule="auto"/>
        <w:rPr>
          <w:rFonts w:eastAsia="Times New Roman"/>
          <w:lang w:eastAsia="hr-HR"/>
        </w:rPr>
      </w:pPr>
    </w:p>
    <w:p w14:paraId="6F32AC5B"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lang w:eastAsia="hr-HR"/>
        </w:rPr>
        <w:t>Sljedeći vezani korak je izračun</w:t>
      </w:r>
      <w:r w:rsidRPr="00BE7D75">
        <w:rPr>
          <w:rFonts w:eastAsia="Times New Roman"/>
          <w:sz w:val="24"/>
          <w:szCs w:val="24"/>
          <w:lang w:eastAsia="hr-HR"/>
        </w:rPr>
        <w:t xml:space="preserve"> </w:t>
      </w:r>
      <w:r w:rsidRPr="00BE7D75">
        <w:rPr>
          <w:rFonts w:eastAsia="Times New Roman"/>
          <w:b/>
          <w:bCs/>
          <w:lang w:eastAsia="hr-HR"/>
        </w:rPr>
        <w:t>povijesne stope umanjenja vrijednost</w:t>
      </w:r>
      <w:r w:rsidRPr="00BE7D75">
        <w:rPr>
          <w:rFonts w:eastAsia="Times New Roman"/>
          <w:lang w:eastAsia="hr-HR"/>
        </w:rPr>
        <w:t>i:</w:t>
      </w:r>
    </w:p>
    <w:p w14:paraId="060B0351" w14:textId="77777777" w:rsidR="00BE7D75" w:rsidRPr="00BE7D75" w:rsidRDefault="00BE7D75" w:rsidP="00BE7D75">
      <w:pPr>
        <w:spacing w:after="0" w:line="240" w:lineRule="auto"/>
        <w:rPr>
          <w:rFonts w:eastAsia="Times New Roman"/>
          <w:sz w:val="24"/>
          <w:szCs w:val="24"/>
          <w:lang w:eastAsia="hr-H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26"/>
        <w:gridCol w:w="1380"/>
        <w:gridCol w:w="1309"/>
        <w:gridCol w:w="1351"/>
        <w:gridCol w:w="1351"/>
        <w:gridCol w:w="1391"/>
        <w:gridCol w:w="1450"/>
      </w:tblGrid>
      <w:tr w:rsidR="00BE7D75" w:rsidRPr="00BE7D75" w14:paraId="404602A1" w14:textId="77777777" w:rsidTr="00BE7D75">
        <w:trPr>
          <w:tblCellSpacing w:w="15" w:type="dxa"/>
        </w:trPr>
        <w:tc>
          <w:tcPr>
            <w:tcW w:w="767" w:type="pct"/>
            <w:tcBorders>
              <w:top w:val="single" w:sz="6" w:space="0" w:color="auto"/>
              <w:left w:val="single" w:sz="6" w:space="0" w:color="auto"/>
              <w:bottom w:val="single" w:sz="6" w:space="0" w:color="auto"/>
              <w:right w:val="single" w:sz="6" w:space="0" w:color="auto"/>
            </w:tcBorders>
            <w:vAlign w:val="center"/>
            <w:hideMark/>
          </w:tcPr>
          <w:p w14:paraId="6F8AEF66"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Opis:</w:t>
            </w:r>
          </w:p>
        </w:tc>
        <w:tc>
          <w:tcPr>
            <w:tcW w:w="699" w:type="pct"/>
            <w:tcBorders>
              <w:top w:val="single" w:sz="6" w:space="0" w:color="auto"/>
              <w:left w:val="single" w:sz="6" w:space="0" w:color="auto"/>
              <w:bottom w:val="single" w:sz="6" w:space="0" w:color="auto"/>
              <w:right w:val="single" w:sz="6" w:space="0" w:color="auto"/>
            </w:tcBorders>
            <w:vAlign w:val="center"/>
            <w:hideMark/>
          </w:tcPr>
          <w:p w14:paraId="400F0601"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Iznos potraživanja u dospijeću</w:t>
            </w:r>
          </w:p>
        </w:tc>
        <w:tc>
          <w:tcPr>
            <w:tcW w:w="662" w:type="pct"/>
            <w:tcBorders>
              <w:top w:val="single" w:sz="6" w:space="0" w:color="auto"/>
              <w:left w:val="single" w:sz="6" w:space="0" w:color="auto"/>
              <w:bottom w:val="single" w:sz="6" w:space="0" w:color="auto"/>
              <w:right w:val="single" w:sz="6" w:space="0" w:color="auto"/>
            </w:tcBorders>
            <w:vAlign w:val="center"/>
            <w:hideMark/>
          </w:tcPr>
          <w:p w14:paraId="1B662836"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Iznos potraživanja 0-30 dana</w:t>
            </w:r>
          </w:p>
        </w:tc>
        <w:tc>
          <w:tcPr>
            <w:tcW w:w="684" w:type="pct"/>
            <w:tcBorders>
              <w:top w:val="single" w:sz="6" w:space="0" w:color="auto"/>
              <w:left w:val="single" w:sz="6" w:space="0" w:color="auto"/>
              <w:bottom w:val="single" w:sz="6" w:space="0" w:color="auto"/>
              <w:right w:val="single" w:sz="6" w:space="0" w:color="auto"/>
            </w:tcBorders>
            <w:vAlign w:val="center"/>
            <w:hideMark/>
          </w:tcPr>
          <w:p w14:paraId="39215CE9"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Iznos potraživanja 30-60 dana</w:t>
            </w:r>
          </w:p>
        </w:tc>
        <w:tc>
          <w:tcPr>
            <w:tcW w:w="684" w:type="pct"/>
            <w:tcBorders>
              <w:top w:val="single" w:sz="6" w:space="0" w:color="auto"/>
              <w:left w:val="single" w:sz="6" w:space="0" w:color="auto"/>
              <w:bottom w:val="single" w:sz="6" w:space="0" w:color="auto"/>
              <w:right w:val="single" w:sz="6" w:space="0" w:color="auto"/>
            </w:tcBorders>
            <w:vAlign w:val="center"/>
            <w:hideMark/>
          </w:tcPr>
          <w:p w14:paraId="4FF62073"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Iznos potraživanja 60-90 dana</w:t>
            </w:r>
          </w:p>
        </w:tc>
        <w:tc>
          <w:tcPr>
            <w:tcW w:w="705" w:type="pct"/>
            <w:tcBorders>
              <w:top w:val="single" w:sz="6" w:space="0" w:color="auto"/>
              <w:left w:val="single" w:sz="6" w:space="0" w:color="auto"/>
              <w:bottom w:val="single" w:sz="6" w:space="0" w:color="auto"/>
              <w:right w:val="single" w:sz="6" w:space="0" w:color="auto"/>
            </w:tcBorders>
            <w:vAlign w:val="center"/>
            <w:hideMark/>
          </w:tcPr>
          <w:p w14:paraId="3047B265"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Iznos potraživanja 90-120 dana</w:t>
            </w:r>
          </w:p>
        </w:tc>
        <w:tc>
          <w:tcPr>
            <w:tcW w:w="727" w:type="pct"/>
            <w:tcBorders>
              <w:top w:val="single" w:sz="6" w:space="0" w:color="auto"/>
              <w:left w:val="single" w:sz="6" w:space="0" w:color="auto"/>
              <w:bottom w:val="single" w:sz="6" w:space="0" w:color="auto"/>
              <w:right w:val="single" w:sz="6" w:space="0" w:color="auto"/>
            </w:tcBorders>
            <w:vAlign w:val="center"/>
            <w:hideMark/>
          </w:tcPr>
          <w:p w14:paraId="4993A5A2" w14:textId="77777777" w:rsidR="00BE7D75" w:rsidRPr="00BE7D75" w:rsidRDefault="00BE7D75" w:rsidP="00F1736B">
            <w:pPr>
              <w:spacing w:after="0" w:line="240" w:lineRule="auto"/>
              <w:jc w:val="center"/>
              <w:rPr>
                <w:rFonts w:eastAsia="Times New Roman"/>
                <w:sz w:val="24"/>
                <w:szCs w:val="24"/>
                <w:lang w:eastAsia="hr-HR"/>
              </w:rPr>
            </w:pPr>
            <w:r w:rsidRPr="00BE7D75">
              <w:rPr>
                <w:rFonts w:eastAsia="Times New Roman"/>
                <w:b/>
                <w:bCs/>
                <w:sz w:val="20"/>
                <w:szCs w:val="20"/>
                <w:lang w:eastAsia="hr-HR"/>
              </w:rPr>
              <w:t>Iznos potraživanja 120-180 dana</w:t>
            </w:r>
          </w:p>
        </w:tc>
      </w:tr>
      <w:tr w:rsidR="00BE7D75" w:rsidRPr="00BE7D75" w14:paraId="6DA1CF73" w14:textId="77777777" w:rsidTr="00BE7D75">
        <w:trPr>
          <w:tblCellSpacing w:w="15" w:type="dxa"/>
        </w:trPr>
        <w:tc>
          <w:tcPr>
            <w:tcW w:w="767" w:type="pct"/>
            <w:tcBorders>
              <w:top w:val="single" w:sz="6" w:space="0" w:color="auto"/>
              <w:left w:val="single" w:sz="6" w:space="0" w:color="auto"/>
              <w:bottom w:val="single" w:sz="6" w:space="0" w:color="auto"/>
              <w:right w:val="single" w:sz="6" w:space="0" w:color="auto"/>
            </w:tcBorders>
            <w:vAlign w:val="center"/>
            <w:hideMark/>
          </w:tcPr>
          <w:p w14:paraId="58DFBEF7"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Iznos realizacije</w:t>
            </w:r>
          </w:p>
        </w:tc>
        <w:tc>
          <w:tcPr>
            <w:tcW w:w="699" w:type="pct"/>
            <w:tcBorders>
              <w:top w:val="single" w:sz="6" w:space="0" w:color="auto"/>
              <w:left w:val="single" w:sz="6" w:space="0" w:color="auto"/>
              <w:bottom w:val="single" w:sz="6" w:space="0" w:color="auto"/>
              <w:right w:val="single" w:sz="6" w:space="0" w:color="auto"/>
            </w:tcBorders>
            <w:vAlign w:val="center"/>
            <w:hideMark/>
          </w:tcPr>
          <w:p w14:paraId="1AADF9D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53.000.000</w:t>
            </w:r>
          </w:p>
        </w:tc>
        <w:tc>
          <w:tcPr>
            <w:tcW w:w="662" w:type="pct"/>
            <w:tcBorders>
              <w:top w:val="single" w:sz="6" w:space="0" w:color="auto"/>
              <w:left w:val="single" w:sz="6" w:space="0" w:color="auto"/>
              <w:bottom w:val="single" w:sz="6" w:space="0" w:color="auto"/>
              <w:right w:val="single" w:sz="6" w:space="0" w:color="auto"/>
            </w:tcBorders>
            <w:vAlign w:val="center"/>
            <w:hideMark/>
          </w:tcPr>
          <w:p w14:paraId="1F55E34E"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35.000.000</w:t>
            </w:r>
          </w:p>
        </w:tc>
        <w:tc>
          <w:tcPr>
            <w:tcW w:w="684" w:type="pct"/>
            <w:tcBorders>
              <w:top w:val="single" w:sz="6" w:space="0" w:color="auto"/>
              <w:left w:val="single" w:sz="6" w:space="0" w:color="auto"/>
              <w:bottom w:val="single" w:sz="6" w:space="0" w:color="auto"/>
              <w:right w:val="single" w:sz="6" w:space="0" w:color="auto"/>
            </w:tcBorders>
            <w:vAlign w:val="center"/>
            <w:hideMark/>
          </w:tcPr>
          <w:p w14:paraId="3CFDDE09"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10.000.000</w:t>
            </w:r>
          </w:p>
        </w:tc>
        <w:tc>
          <w:tcPr>
            <w:tcW w:w="684" w:type="pct"/>
            <w:tcBorders>
              <w:top w:val="single" w:sz="6" w:space="0" w:color="auto"/>
              <w:left w:val="single" w:sz="6" w:space="0" w:color="auto"/>
              <w:bottom w:val="single" w:sz="6" w:space="0" w:color="auto"/>
              <w:right w:val="single" w:sz="6" w:space="0" w:color="auto"/>
            </w:tcBorders>
            <w:vAlign w:val="center"/>
            <w:hideMark/>
          </w:tcPr>
          <w:p w14:paraId="723BC9A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3.000.000</w:t>
            </w:r>
          </w:p>
        </w:tc>
        <w:tc>
          <w:tcPr>
            <w:tcW w:w="705" w:type="pct"/>
            <w:tcBorders>
              <w:top w:val="single" w:sz="6" w:space="0" w:color="auto"/>
              <w:left w:val="single" w:sz="6" w:space="0" w:color="auto"/>
              <w:bottom w:val="single" w:sz="6" w:space="0" w:color="auto"/>
              <w:right w:val="single" w:sz="6" w:space="0" w:color="auto"/>
            </w:tcBorders>
            <w:vAlign w:val="center"/>
            <w:hideMark/>
          </w:tcPr>
          <w:p w14:paraId="7AB4B37B"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2.000.000</w:t>
            </w:r>
          </w:p>
        </w:tc>
        <w:tc>
          <w:tcPr>
            <w:tcW w:w="727" w:type="pct"/>
            <w:tcBorders>
              <w:top w:val="single" w:sz="6" w:space="0" w:color="auto"/>
              <w:left w:val="single" w:sz="6" w:space="0" w:color="auto"/>
              <w:bottom w:val="single" w:sz="6" w:space="0" w:color="auto"/>
              <w:right w:val="single" w:sz="6" w:space="0" w:color="auto"/>
            </w:tcBorders>
            <w:vAlign w:val="center"/>
            <w:hideMark/>
          </w:tcPr>
          <w:p w14:paraId="01567A6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500.000</w:t>
            </w:r>
          </w:p>
        </w:tc>
      </w:tr>
      <w:tr w:rsidR="00BE7D75" w:rsidRPr="00BE7D75" w14:paraId="0AB930E7" w14:textId="77777777" w:rsidTr="00BE7D75">
        <w:trPr>
          <w:tblCellSpacing w:w="15" w:type="dxa"/>
        </w:trPr>
        <w:tc>
          <w:tcPr>
            <w:tcW w:w="767" w:type="pct"/>
            <w:tcBorders>
              <w:top w:val="single" w:sz="6" w:space="0" w:color="auto"/>
              <w:left w:val="single" w:sz="6" w:space="0" w:color="auto"/>
              <w:bottom w:val="single" w:sz="6" w:space="0" w:color="auto"/>
              <w:right w:val="single" w:sz="6" w:space="0" w:color="auto"/>
            </w:tcBorders>
            <w:vAlign w:val="center"/>
            <w:hideMark/>
          </w:tcPr>
          <w:p w14:paraId="73A0646A"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Nenaplativi iznos</w:t>
            </w:r>
          </w:p>
        </w:tc>
        <w:tc>
          <w:tcPr>
            <w:tcW w:w="699" w:type="pct"/>
            <w:tcBorders>
              <w:top w:val="single" w:sz="6" w:space="0" w:color="auto"/>
              <w:left w:val="single" w:sz="6" w:space="0" w:color="auto"/>
              <w:bottom w:val="single" w:sz="6" w:space="0" w:color="auto"/>
              <w:right w:val="single" w:sz="6" w:space="0" w:color="auto"/>
            </w:tcBorders>
            <w:vAlign w:val="center"/>
            <w:hideMark/>
          </w:tcPr>
          <w:p w14:paraId="6B3922A1"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c>
          <w:tcPr>
            <w:tcW w:w="662" w:type="pct"/>
            <w:tcBorders>
              <w:top w:val="single" w:sz="6" w:space="0" w:color="auto"/>
              <w:left w:val="single" w:sz="6" w:space="0" w:color="auto"/>
              <w:bottom w:val="single" w:sz="6" w:space="0" w:color="auto"/>
              <w:right w:val="single" w:sz="6" w:space="0" w:color="auto"/>
            </w:tcBorders>
            <w:vAlign w:val="center"/>
            <w:hideMark/>
          </w:tcPr>
          <w:p w14:paraId="09F25887"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c>
          <w:tcPr>
            <w:tcW w:w="684" w:type="pct"/>
            <w:tcBorders>
              <w:top w:val="single" w:sz="6" w:space="0" w:color="auto"/>
              <w:left w:val="single" w:sz="6" w:space="0" w:color="auto"/>
              <w:bottom w:val="single" w:sz="6" w:space="0" w:color="auto"/>
              <w:right w:val="single" w:sz="6" w:space="0" w:color="auto"/>
            </w:tcBorders>
            <w:vAlign w:val="center"/>
            <w:hideMark/>
          </w:tcPr>
          <w:p w14:paraId="313AE505"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c>
          <w:tcPr>
            <w:tcW w:w="684" w:type="pct"/>
            <w:tcBorders>
              <w:top w:val="single" w:sz="6" w:space="0" w:color="auto"/>
              <w:left w:val="single" w:sz="6" w:space="0" w:color="auto"/>
              <w:bottom w:val="single" w:sz="6" w:space="0" w:color="auto"/>
              <w:right w:val="single" w:sz="6" w:space="0" w:color="auto"/>
            </w:tcBorders>
            <w:vAlign w:val="center"/>
            <w:hideMark/>
          </w:tcPr>
          <w:p w14:paraId="3B70D093"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c>
          <w:tcPr>
            <w:tcW w:w="705" w:type="pct"/>
            <w:tcBorders>
              <w:top w:val="single" w:sz="6" w:space="0" w:color="auto"/>
              <w:left w:val="single" w:sz="6" w:space="0" w:color="auto"/>
              <w:bottom w:val="single" w:sz="6" w:space="0" w:color="auto"/>
              <w:right w:val="single" w:sz="6" w:space="0" w:color="auto"/>
            </w:tcBorders>
            <w:vAlign w:val="center"/>
            <w:hideMark/>
          </w:tcPr>
          <w:p w14:paraId="71FE767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c>
          <w:tcPr>
            <w:tcW w:w="727" w:type="pct"/>
            <w:tcBorders>
              <w:top w:val="single" w:sz="6" w:space="0" w:color="auto"/>
              <w:left w:val="single" w:sz="6" w:space="0" w:color="auto"/>
              <w:bottom w:val="single" w:sz="6" w:space="0" w:color="auto"/>
              <w:right w:val="single" w:sz="6" w:space="0" w:color="auto"/>
            </w:tcBorders>
            <w:vAlign w:val="center"/>
            <w:hideMark/>
          </w:tcPr>
          <w:p w14:paraId="4A14602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400.000</w:t>
            </w:r>
          </w:p>
        </w:tc>
      </w:tr>
      <w:tr w:rsidR="00BE7D75" w:rsidRPr="00BE7D75" w14:paraId="395F07F9" w14:textId="77777777" w:rsidTr="00BE7D75">
        <w:trPr>
          <w:tblCellSpacing w:w="15" w:type="dxa"/>
        </w:trPr>
        <w:tc>
          <w:tcPr>
            <w:tcW w:w="767" w:type="pct"/>
            <w:tcBorders>
              <w:top w:val="single" w:sz="6" w:space="0" w:color="auto"/>
              <w:left w:val="single" w:sz="6" w:space="0" w:color="auto"/>
              <w:bottom w:val="single" w:sz="6" w:space="0" w:color="auto"/>
              <w:right w:val="single" w:sz="6" w:space="0" w:color="auto"/>
            </w:tcBorders>
            <w:vAlign w:val="center"/>
            <w:hideMark/>
          </w:tcPr>
          <w:p w14:paraId="7D95D000"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sz w:val="20"/>
                <w:szCs w:val="20"/>
                <w:lang w:eastAsia="hr-HR"/>
              </w:rPr>
              <w:t>Povijesna stopa umanjenja vrijednosti</w:t>
            </w:r>
          </w:p>
        </w:tc>
        <w:tc>
          <w:tcPr>
            <w:tcW w:w="699" w:type="pct"/>
            <w:tcBorders>
              <w:top w:val="single" w:sz="6" w:space="0" w:color="auto"/>
              <w:left w:val="single" w:sz="6" w:space="0" w:color="auto"/>
              <w:bottom w:val="single" w:sz="6" w:space="0" w:color="auto"/>
              <w:right w:val="single" w:sz="6" w:space="0" w:color="auto"/>
            </w:tcBorders>
            <w:vAlign w:val="center"/>
            <w:hideMark/>
          </w:tcPr>
          <w:p w14:paraId="77599824"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0,75%</w:t>
            </w:r>
          </w:p>
        </w:tc>
        <w:tc>
          <w:tcPr>
            <w:tcW w:w="662" w:type="pct"/>
            <w:tcBorders>
              <w:top w:val="single" w:sz="6" w:space="0" w:color="auto"/>
              <w:left w:val="single" w:sz="6" w:space="0" w:color="auto"/>
              <w:bottom w:val="single" w:sz="6" w:space="0" w:color="auto"/>
              <w:right w:val="single" w:sz="6" w:space="0" w:color="auto"/>
            </w:tcBorders>
            <w:vAlign w:val="center"/>
            <w:hideMark/>
          </w:tcPr>
          <w:p w14:paraId="432E9EEE"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1,14%</w:t>
            </w:r>
          </w:p>
        </w:tc>
        <w:tc>
          <w:tcPr>
            <w:tcW w:w="684" w:type="pct"/>
            <w:tcBorders>
              <w:top w:val="single" w:sz="6" w:space="0" w:color="auto"/>
              <w:left w:val="single" w:sz="6" w:space="0" w:color="auto"/>
              <w:bottom w:val="single" w:sz="6" w:space="0" w:color="auto"/>
              <w:right w:val="single" w:sz="6" w:space="0" w:color="auto"/>
            </w:tcBorders>
            <w:vAlign w:val="center"/>
            <w:hideMark/>
          </w:tcPr>
          <w:p w14:paraId="6E93E20E"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4,00%</w:t>
            </w:r>
          </w:p>
        </w:tc>
        <w:tc>
          <w:tcPr>
            <w:tcW w:w="684" w:type="pct"/>
            <w:tcBorders>
              <w:top w:val="single" w:sz="6" w:space="0" w:color="auto"/>
              <w:left w:val="single" w:sz="6" w:space="0" w:color="auto"/>
              <w:bottom w:val="single" w:sz="6" w:space="0" w:color="auto"/>
              <w:right w:val="single" w:sz="6" w:space="0" w:color="auto"/>
            </w:tcBorders>
            <w:vAlign w:val="center"/>
            <w:hideMark/>
          </w:tcPr>
          <w:p w14:paraId="3A542BDF"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13,33%</w:t>
            </w:r>
          </w:p>
        </w:tc>
        <w:tc>
          <w:tcPr>
            <w:tcW w:w="705" w:type="pct"/>
            <w:tcBorders>
              <w:top w:val="single" w:sz="6" w:space="0" w:color="auto"/>
              <w:left w:val="single" w:sz="6" w:space="0" w:color="auto"/>
              <w:bottom w:val="single" w:sz="6" w:space="0" w:color="auto"/>
              <w:right w:val="single" w:sz="6" w:space="0" w:color="auto"/>
            </w:tcBorders>
            <w:vAlign w:val="center"/>
            <w:hideMark/>
          </w:tcPr>
          <w:p w14:paraId="4A23DC5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20,00%</w:t>
            </w:r>
          </w:p>
        </w:tc>
        <w:tc>
          <w:tcPr>
            <w:tcW w:w="727" w:type="pct"/>
            <w:tcBorders>
              <w:top w:val="single" w:sz="6" w:space="0" w:color="auto"/>
              <w:left w:val="single" w:sz="6" w:space="0" w:color="auto"/>
              <w:bottom w:val="single" w:sz="6" w:space="0" w:color="auto"/>
              <w:right w:val="single" w:sz="6" w:space="0" w:color="auto"/>
            </w:tcBorders>
            <w:vAlign w:val="center"/>
            <w:hideMark/>
          </w:tcPr>
          <w:p w14:paraId="5CC980CC" w14:textId="77777777" w:rsidR="00BE7D75" w:rsidRPr="00BE7D75" w:rsidRDefault="00BE7D75" w:rsidP="00BE7D75">
            <w:pPr>
              <w:spacing w:after="0" w:line="240" w:lineRule="auto"/>
              <w:jc w:val="right"/>
              <w:rPr>
                <w:rFonts w:eastAsia="Times New Roman"/>
                <w:sz w:val="24"/>
                <w:szCs w:val="24"/>
                <w:lang w:eastAsia="hr-HR"/>
              </w:rPr>
            </w:pPr>
            <w:r w:rsidRPr="00BE7D75">
              <w:rPr>
                <w:rFonts w:eastAsia="Times New Roman"/>
                <w:sz w:val="20"/>
                <w:szCs w:val="20"/>
                <w:lang w:eastAsia="hr-HR"/>
              </w:rPr>
              <w:t>80,00%</w:t>
            </w:r>
          </w:p>
        </w:tc>
      </w:tr>
    </w:tbl>
    <w:p w14:paraId="0DC1AA96" w14:textId="77777777" w:rsidR="00BE7D75" w:rsidRDefault="00BE7D75" w:rsidP="00BE7D75">
      <w:pPr>
        <w:spacing w:after="0" w:line="240" w:lineRule="auto"/>
        <w:rPr>
          <w:rFonts w:eastAsia="Times New Roman"/>
          <w:lang w:eastAsia="hr-HR"/>
        </w:rPr>
      </w:pPr>
    </w:p>
    <w:p w14:paraId="59B9E8C6"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Na ovaj način utvrđene su </w:t>
      </w:r>
      <w:r w:rsidRPr="00BE7D75">
        <w:rPr>
          <w:rFonts w:eastAsia="Times New Roman"/>
          <w:b/>
          <w:bCs/>
          <w:lang w:eastAsia="hr-HR"/>
        </w:rPr>
        <w:t>povijesne stope umanjenja vrijednosti</w:t>
      </w:r>
      <w:r w:rsidRPr="00BE7D75">
        <w:rPr>
          <w:rFonts w:eastAsia="Times New Roman"/>
          <w:lang w:eastAsia="hr-HR"/>
        </w:rPr>
        <w:t>. Predmetne se stope korigiraju za projekciju budućih ekonomskih kretanja. </w:t>
      </w:r>
    </w:p>
    <w:p w14:paraId="4C23DB2E"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Budući da su trenutačne najave kretanja BDP-a u Republici Hrvatskoj perspektivne, u ovom primjeru se očekuje da neće doći do značajnijeg poremećaja vezano uz prethodno utvrđene povijesne stope umanjenja vrijednosti. </w:t>
      </w:r>
    </w:p>
    <w:p w14:paraId="169C5917" w14:textId="77777777" w:rsidR="00BE7D75" w:rsidRPr="00BE7D75" w:rsidRDefault="00BE7D75" w:rsidP="00BE7D75">
      <w:pPr>
        <w:spacing w:after="0" w:line="240" w:lineRule="auto"/>
        <w:jc w:val="both"/>
        <w:rPr>
          <w:rFonts w:eastAsia="Times New Roman"/>
          <w:sz w:val="24"/>
          <w:szCs w:val="24"/>
          <w:lang w:eastAsia="hr-HR"/>
        </w:rPr>
      </w:pPr>
    </w:p>
    <w:p w14:paraId="071297FB" w14:textId="5AA801CD"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Na bazi ovako utvrđenih povijesnih stopa umanjenja vrijednost, na </w:t>
      </w:r>
      <w:r w:rsidRPr="00F1736B">
        <w:rPr>
          <w:rFonts w:eastAsia="Times New Roman"/>
          <w:lang w:eastAsia="hr-HR"/>
        </w:rPr>
        <w:t>31.12.2019</w:t>
      </w:r>
      <w:r w:rsidR="00BC4BA2" w:rsidRPr="00F1736B">
        <w:rPr>
          <w:rFonts w:eastAsia="Times New Roman"/>
          <w:lang w:eastAsia="hr-HR"/>
        </w:rPr>
        <w:t>.</w:t>
      </w:r>
      <w:r w:rsidRPr="00F1736B">
        <w:rPr>
          <w:rFonts w:eastAsia="Times New Roman"/>
          <w:lang w:eastAsia="hr-HR"/>
        </w:rPr>
        <w:t>,</w:t>
      </w:r>
      <w:r w:rsidRPr="00BE7D75">
        <w:rPr>
          <w:rFonts w:eastAsia="Times New Roman"/>
          <w:lang w:eastAsia="hr-HR"/>
        </w:rPr>
        <w:t xml:space="preserve"> koji predstavlja naredni datum bilance, neophodno je temeljem utvrđenog salda potraživanja od ostalih kupaca primjeniti ove stope i definirati vrijednosno usklađenje.</w:t>
      </w:r>
    </w:p>
    <w:p w14:paraId="6F5D3CBE" w14:textId="77777777" w:rsidR="00BE7D75" w:rsidRPr="00BE7D75" w:rsidRDefault="00BE7D75" w:rsidP="00BE7D75">
      <w:pPr>
        <w:spacing w:after="0" w:line="240" w:lineRule="auto"/>
        <w:jc w:val="both"/>
        <w:rPr>
          <w:rFonts w:eastAsia="Times New Roman"/>
          <w:sz w:val="24"/>
          <w:szCs w:val="24"/>
          <w:lang w:eastAsia="hr-HR"/>
        </w:rPr>
      </w:pPr>
    </w:p>
    <w:p w14:paraId="66F02694" w14:textId="3D41D0B2" w:rsidR="00BE7D75" w:rsidRDefault="00BE7D75" w:rsidP="00BE7D75">
      <w:pPr>
        <w:spacing w:after="0" w:line="240" w:lineRule="auto"/>
        <w:jc w:val="both"/>
        <w:rPr>
          <w:rFonts w:eastAsia="Times New Roman"/>
          <w:lang w:eastAsia="hr-HR"/>
        </w:rPr>
      </w:pPr>
      <w:r w:rsidRPr="00BE7D75">
        <w:rPr>
          <w:rFonts w:eastAsia="Times New Roman"/>
          <w:lang w:eastAsia="hr-HR"/>
        </w:rPr>
        <w:t>Odnosno, pod pretpostavkom</w:t>
      </w:r>
      <w:r w:rsidR="00FB2E53">
        <w:rPr>
          <w:rFonts w:eastAsia="Times New Roman"/>
          <w:lang w:eastAsia="hr-HR"/>
        </w:rPr>
        <w:t xml:space="preserve"> da su</w:t>
      </w:r>
      <w:r w:rsidRPr="00BE7D75">
        <w:rPr>
          <w:rFonts w:eastAsia="Times New Roman"/>
          <w:lang w:eastAsia="hr-HR"/>
        </w:rPr>
        <w:t xml:space="preserve"> salda potraživanja od ostalih kupaca na dan 31.12.2019. godine u visini od 2.000.000 HRK sljedeće strukture, izračun vrijednosnog usklađenja koje je potrebno priznati primjenom odredbi MSFI 9 je sljedeći:</w:t>
      </w:r>
    </w:p>
    <w:p w14:paraId="2604E8CA" w14:textId="77777777" w:rsidR="00BE7D75" w:rsidRPr="00BE7D75" w:rsidRDefault="00BE7D75" w:rsidP="00BE7D75">
      <w:pPr>
        <w:spacing w:after="0" w:line="240" w:lineRule="auto"/>
        <w:jc w:val="both"/>
        <w:rPr>
          <w:rFonts w:eastAsia="Times New Roman"/>
          <w:sz w:val="24"/>
          <w:szCs w:val="24"/>
          <w:lang w:eastAsia="hr-HR"/>
        </w:rPr>
      </w:pPr>
    </w:p>
    <w:tbl>
      <w:tblPr>
        <w:tblW w:w="7800" w:type="dxa"/>
        <w:jc w:val="center"/>
        <w:tblCellSpacing w:w="15" w:type="dxa"/>
        <w:tblCellMar>
          <w:top w:w="15" w:type="dxa"/>
          <w:left w:w="15" w:type="dxa"/>
          <w:bottom w:w="15" w:type="dxa"/>
          <w:right w:w="15" w:type="dxa"/>
        </w:tblCellMar>
        <w:tblLook w:val="04A0" w:firstRow="1" w:lastRow="0" w:firstColumn="1" w:lastColumn="0" w:noHBand="0" w:noVBand="1"/>
      </w:tblPr>
      <w:tblGrid>
        <w:gridCol w:w="2262"/>
        <w:gridCol w:w="1523"/>
        <w:gridCol w:w="1836"/>
        <w:gridCol w:w="2179"/>
      </w:tblGrid>
      <w:tr w:rsidR="00BE7D75" w:rsidRPr="00BE7D75" w14:paraId="0D5071A1"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5634BE0" w14:textId="77777777" w:rsidR="00BE7D75" w:rsidRPr="00BE7D75" w:rsidRDefault="00BE7D75" w:rsidP="00BE7D75">
            <w:pPr>
              <w:spacing w:after="0" w:line="240" w:lineRule="auto"/>
              <w:jc w:val="center"/>
              <w:rPr>
                <w:rFonts w:eastAsia="Times New Roman"/>
                <w:sz w:val="20"/>
                <w:szCs w:val="20"/>
                <w:lang w:eastAsia="hr-HR"/>
              </w:rPr>
            </w:pPr>
            <w:r w:rsidRPr="00BE7D75">
              <w:rPr>
                <w:rFonts w:eastAsia="Times New Roman"/>
                <w:b/>
                <w:bCs/>
                <w:sz w:val="20"/>
                <w:szCs w:val="20"/>
                <w:lang w:eastAsia="hr-HR"/>
              </w:rPr>
              <w:t>Struktura potraživanja po dospijeću</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D629695" w14:textId="77777777" w:rsidR="00BE7D75" w:rsidRPr="00BE7D75" w:rsidRDefault="00BE7D75" w:rsidP="00BE7D75">
            <w:pPr>
              <w:spacing w:after="0" w:line="240" w:lineRule="auto"/>
              <w:jc w:val="center"/>
              <w:rPr>
                <w:rFonts w:eastAsia="Times New Roman"/>
                <w:sz w:val="20"/>
                <w:szCs w:val="20"/>
                <w:lang w:eastAsia="hr-HR"/>
              </w:rPr>
            </w:pPr>
            <w:r w:rsidRPr="00BE7D75">
              <w:rPr>
                <w:rFonts w:eastAsia="Times New Roman"/>
                <w:b/>
                <w:bCs/>
                <w:sz w:val="20"/>
                <w:szCs w:val="20"/>
                <w:lang w:eastAsia="hr-HR"/>
              </w:rPr>
              <w:t>Saldo potraživanja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A37B388" w14:textId="77777777" w:rsidR="00BE7D75" w:rsidRPr="00BE7D75" w:rsidRDefault="00BE7D75" w:rsidP="00BE7D75">
            <w:pPr>
              <w:spacing w:after="0" w:line="240" w:lineRule="auto"/>
              <w:jc w:val="center"/>
              <w:rPr>
                <w:rFonts w:eastAsia="Times New Roman"/>
                <w:sz w:val="20"/>
                <w:szCs w:val="20"/>
                <w:lang w:eastAsia="hr-HR"/>
              </w:rPr>
            </w:pPr>
            <w:r w:rsidRPr="00BE7D75">
              <w:rPr>
                <w:rFonts w:eastAsia="Times New Roman"/>
                <w:b/>
                <w:bCs/>
                <w:sz w:val="20"/>
                <w:szCs w:val="20"/>
                <w:lang w:eastAsia="hr-HR"/>
              </w:rPr>
              <w:t>Stopa umanjenja vrijednosti</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5EF6DB4" w14:textId="77777777" w:rsidR="00BE7D75" w:rsidRPr="00BE7D75" w:rsidRDefault="00BE7D75" w:rsidP="00BE7D75">
            <w:pPr>
              <w:spacing w:after="0" w:line="240" w:lineRule="auto"/>
              <w:jc w:val="center"/>
              <w:rPr>
                <w:rFonts w:eastAsia="Times New Roman"/>
                <w:sz w:val="20"/>
                <w:szCs w:val="20"/>
                <w:lang w:eastAsia="hr-HR"/>
              </w:rPr>
            </w:pPr>
            <w:r w:rsidRPr="00BE7D75">
              <w:rPr>
                <w:rFonts w:eastAsia="Times New Roman"/>
                <w:b/>
                <w:bCs/>
                <w:sz w:val="20"/>
                <w:szCs w:val="20"/>
                <w:lang w:eastAsia="hr-HR"/>
              </w:rPr>
              <w:t>Izračun vrijednosnog usklađenja</w:t>
            </w:r>
          </w:p>
        </w:tc>
      </w:tr>
      <w:tr w:rsidR="00BE7D75" w:rsidRPr="00BE7D75" w14:paraId="28284CE4"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6223DBCB" w14:textId="77777777" w:rsidR="00BE7D75" w:rsidRPr="00BE7D75" w:rsidRDefault="00BE7D75" w:rsidP="00BE7D75">
            <w:pPr>
              <w:spacing w:after="0" w:line="240" w:lineRule="auto"/>
              <w:rPr>
                <w:rFonts w:eastAsia="Times New Roman"/>
                <w:sz w:val="20"/>
                <w:szCs w:val="20"/>
                <w:lang w:eastAsia="hr-HR"/>
              </w:rPr>
            </w:pPr>
            <w:r w:rsidRPr="00BE7D75">
              <w:rPr>
                <w:rFonts w:eastAsia="Times New Roman"/>
                <w:sz w:val="20"/>
                <w:szCs w:val="20"/>
                <w:lang w:eastAsia="hr-HR"/>
              </w:rPr>
              <w:t>nedospjelo</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4B3DE54"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1.000.000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64FF5A"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0,75%</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4A4FA6E"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7.500</w:t>
            </w:r>
          </w:p>
        </w:tc>
      </w:tr>
      <w:tr w:rsidR="00BE7D75" w:rsidRPr="00BE7D75" w14:paraId="1FD7985A"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D1A9521" w14:textId="77777777" w:rsidR="00BE7D75" w:rsidRPr="00BE7D75" w:rsidRDefault="00BE7D75" w:rsidP="00BE7D75">
            <w:pPr>
              <w:spacing w:after="0" w:line="240" w:lineRule="auto"/>
              <w:rPr>
                <w:rFonts w:eastAsia="Times New Roman"/>
                <w:sz w:val="20"/>
                <w:szCs w:val="20"/>
                <w:lang w:eastAsia="hr-HR"/>
              </w:rPr>
            </w:pPr>
            <w:r w:rsidRPr="00BE7D75">
              <w:rPr>
                <w:rFonts w:eastAsia="Times New Roman"/>
                <w:sz w:val="20"/>
                <w:szCs w:val="20"/>
                <w:lang w:eastAsia="hr-HR"/>
              </w:rPr>
              <w:t>do 30 dana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FD7E5B5"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350.000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8943EF9"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1,14%</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A40B7C9"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3.990</w:t>
            </w:r>
          </w:p>
        </w:tc>
      </w:tr>
      <w:tr w:rsidR="00BE7D75" w:rsidRPr="00BE7D75" w14:paraId="743D9DB8"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CFC71C3" w14:textId="77777777" w:rsidR="00BE7D75" w:rsidRPr="00BE7D75" w:rsidRDefault="00BE7D75" w:rsidP="00BE7D75">
            <w:pPr>
              <w:spacing w:after="0" w:line="240" w:lineRule="auto"/>
              <w:rPr>
                <w:rFonts w:eastAsia="Times New Roman"/>
                <w:sz w:val="20"/>
                <w:szCs w:val="20"/>
                <w:lang w:eastAsia="hr-HR"/>
              </w:rPr>
            </w:pPr>
            <w:r w:rsidRPr="00BE7D75">
              <w:rPr>
                <w:rFonts w:eastAsia="Times New Roman"/>
                <w:sz w:val="20"/>
                <w:szCs w:val="20"/>
                <w:lang w:eastAsia="hr-HR"/>
              </w:rPr>
              <w:t>do 60 dana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A5211A"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150.000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8F3C56D"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4,00%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AE9BE7C"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6.000</w:t>
            </w:r>
          </w:p>
        </w:tc>
      </w:tr>
      <w:tr w:rsidR="00BE7D75" w:rsidRPr="00BE7D75" w14:paraId="44A90943"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7AD893A7" w14:textId="77777777" w:rsidR="00BE7D75" w:rsidRPr="00BE7D75" w:rsidRDefault="00BE7D75" w:rsidP="00BE7D75">
            <w:pPr>
              <w:spacing w:after="0" w:line="240" w:lineRule="auto"/>
              <w:rPr>
                <w:rFonts w:eastAsia="Times New Roman"/>
                <w:sz w:val="20"/>
                <w:szCs w:val="20"/>
                <w:lang w:eastAsia="hr-HR"/>
              </w:rPr>
            </w:pPr>
            <w:r w:rsidRPr="00BE7D75">
              <w:rPr>
                <w:rFonts w:eastAsia="Times New Roman"/>
                <w:sz w:val="20"/>
                <w:szCs w:val="20"/>
                <w:lang w:eastAsia="hr-HR"/>
              </w:rPr>
              <w:t>do 90 dana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1A55897"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200.000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F447A7D"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13,33%</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11BDAE3" w14:textId="0F66AEA0" w:rsidR="00BE7D75" w:rsidRPr="00BE7D75" w:rsidRDefault="00FB2E53" w:rsidP="00BE7D75">
            <w:pPr>
              <w:spacing w:after="0" w:line="240" w:lineRule="auto"/>
              <w:jc w:val="right"/>
              <w:rPr>
                <w:rFonts w:eastAsia="Times New Roman"/>
                <w:sz w:val="20"/>
                <w:szCs w:val="20"/>
                <w:lang w:eastAsia="hr-HR"/>
              </w:rPr>
            </w:pPr>
            <w:r>
              <w:rPr>
                <w:rFonts w:eastAsia="Times New Roman"/>
                <w:sz w:val="20"/>
                <w:szCs w:val="20"/>
                <w:lang w:eastAsia="hr-HR"/>
              </w:rPr>
              <w:t>26.660</w:t>
            </w:r>
          </w:p>
        </w:tc>
      </w:tr>
      <w:tr w:rsidR="00BE7D75" w:rsidRPr="00BE7D75" w14:paraId="6350C402"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3D51E2B" w14:textId="77777777" w:rsidR="00BE7D75" w:rsidRPr="00BE7D75" w:rsidRDefault="00BE7D75" w:rsidP="00BE7D75">
            <w:pPr>
              <w:spacing w:after="0" w:line="240" w:lineRule="auto"/>
              <w:rPr>
                <w:rFonts w:eastAsia="Times New Roman"/>
                <w:sz w:val="20"/>
                <w:szCs w:val="20"/>
                <w:lang w:eastAsia="hr-HR"/>
              </w:rPr>
            </w:pPr>
            <w:r w:rsidRPr="00BE7D75">
              <w:rPr>
                <w:rFonts w:eastAsia="Times New Roman"/>
                <w:sz w:val="20"/>
                <w:szCs w:val="20"/>
                <w:lang w:eastAsia="hr-HR"/>
              </w:rPr>
              <w:t>do 120 dana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1F30E65"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150.000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47C0A11"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20,00%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59AEBB1"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30.000</w:t>
            </w:r>
          </w:p>
        </w:tc>
      </w:tr>
      <w:tr w:rsidR="00BE7D75" w:rsidRPr="00BE7D75" w14:paraId="0BEA5641" w14:textId="77777777" w:rsidTr="00BE7D75">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C7C7158" w14:textId="77777777" w:rsidR="00BE7D75" w:rsidRPr="00BE7D75" w:rsidRDefault="00BE7D75" w:rsidP="00BE7D75">
            <w:pPr>
              <w:spacing w:after="0" w:line="240" w:lineRule="auto"/>
              <w:rPr>
                <w:rFonts w:eastAsia="Times New Roman"/>
                <w:sz w:val="20"/>
                <w:szCs w:val="20"/>
                <w:lang w:eastAsia="hr-HR"/>
              </w:rPr>
            </w:pPr>
            <w:r w:rsidRPr="00BE7D75">
              <w:rPr>
                <w:rFonts w:eastAsia="Times New Roman"/>
                <w:sz w:val="20"/>
                <w:szCs w:val="20"/>
                <w:lang w:eastAsia="hr-HR"/>
              </w:rPr>
              <w:t>do 180 dana</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D151708"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50.000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D21747B"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80,00%</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77E8613" w14:textId="77777777" w:rsidR="00BE7D75" w:rsidRPr="00BE7D75" w:rsidRDefault="00BE7D75" w:rsidP="00BE7D75">
            <w:pPr>
              <w:spacing w:after="0" w:line="240" w:lineRule="auto"/>
              <w:jc w:val="right"/>
              <w:rPr>
                <w:rFonts w:eastAsia="Times New Roman"/>
                <w:sz w:val="20"/>
                <w:szCs w:val="20"/>
                <w:lang w:eastAsia="hr-HR"/>
              </w:rPr>
            </w:pPr>
            <w:r w:rsidRPr="00BE7D75">
              <w:rPr>
                <w:rFonts w:eastAsia="Times New Roman"/>
                <w:sz w:val="20"/>
                <w:szCs w:val="20"/>
                <w:lang w:eastAsia="hr-HR"/>
              </w:rPr>
              <w:t>40.000</w:t>
            </w:r>
          </w:p>
        </w:tc>
      </w:tr>
    </w:tbl>
    <w:p w14:paraId="37FBBCCD" w14:textId="77777777" w:rsidR="00BE7D75" w:rsidRDefault="00BE7D75" w:rsidP="00BE7D75">
      <w:pPr>
        <w:spacing w:after="0" w:line="240" w:lineRule="auto"/>
        <w:rPr>
          <w:rFonts w:eastAsia="Times New Roman"/>
          <w:sz w:val="24"/>
          <w:szCs w:val="24"/>
          <w:lang w:eastAsia="hr-HR"/>
        </w:rPr>
      </w:pPr>
    </w:p>
    <w:p w14:paraId="4F86DF5C" w14:textId="20A6C337" w:rsidR="00BE7D75" w:rsidRPr="00F1736B" w:rsidRDefault="00BE7D75" w:rsidP="00BE7D75">
      <w:pPr>
        <w:spacing w:after="0" w:line="240" w:lineRule="auto"/>
        <w:rPr>
          <w:rFonts w:eastAsia="Times New Roman"/>
          <w:lang w:eastAsia="hr-HR"/>
        </w:rPr>
      </w:pPr>
      <w:r w:rsidRPr="00F1736B">
        <w:rPr>
          <w:rFonts w:eastAsia="Times New Roman"/>
          <w:lang w:eastAsia="hr-HR"/>
        </w:rPr>
        <w:lastRenderedPageBreak/>
        <w:t xml:space="preserve">Ukupan iznos ispravka vrijednosti potraživanja od kupaca iznosi </w:t>
      </w:r>
      <w:r w:rsidR="00FB2E53" w:rsidRPr="00F1736B">
        <w:rPr>
          <w:rFonts w:eastAsia="Times New Roman"/>
          <w:lang w:eastAsia="hr-HR"/>
        </w:rPr>
        <w:t>114.150</w:t>
      </w:r>
      <w:r w:rsidRPr="00F1736B">
        <w:rPr>
          <w:rFonts w:eastAsia="Times New Roman"/>
          <w:lang w:eastAsia="hr-HR"/>
        </w:rPr>
        <w:t xml:space="preserve"> HRK.</w:t>
      </w:r>
    </w:p>
    <w:p w14:paraId="0433B2EE"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lang w:eastAsia="hr-HR"/>
        </w:rPr>
        <w:t> </w:t>
      </w:r>
    </w:p>
    <w:p w14:paraId="4E63F428" w14:textId="77777777" w:rsidR="00BE7D75" w:rsidRPr="00BE7D75" w:rsidRDefault="00BE7D75" w:rsidP="00BE7D75">
      <w:pPr>
        <w:spacing w:after="0" w:line="240" w:lineRule="auto"/>
        <w:rPr>
          <w:rFonts w:eastAsia="Times New Roman"/>
          <w:sz w:val="24"/>
          <w:szCs w:val="24"/>
          <w:lang w:eastAsia="hr-HR"/>
        </w:rPr>
      </w:pPr>
    </w:p>
    <w:p w14:paraId="6B9A7600" w14:textId="77777777" w:rsidR="00BE7D75" w:rsidRPr="00BE7D75" w:rsidRDefault="00BE7D75" w:rsidP="00BE7D75">
      <w:pPr>
        <w:spacing w:after="0" w:line="240" w:lineRule="auto"/>
        <w:rPr>
          <w:rFonts w:eastAsia="Times New Roman"/>
          <w:sz w:val="24"/>
          <w:szCs w:val="24"/>
          <w:lang w:eastAsia="hr-HR"/>
        </w:rPr>
      </w:pPr>
      <w:r w:rsidRPr="00BE7D75">
        <w:rPr>
          <w:rFonts w:eastAsia="Times New Roman"/>
          <w:i/>
          <w:iCs/>
          <w:color w:val="E30000"/>
          <w:sz w:val="28"/>
          <w:szCs w:val="28"/>
          <w:lang w:eastAsia="hr-HR"/>
        </w:rPr>
        <w:t>Porezni aspekti vrijednosnog usklađenja potraživanja od kupaca u skladu sa MSFI 9</w:t>
      </w:r>
    </w:p>
    <w:p w14:paraId="1FADC52E" w14:textId="77777777" w:rsidR="00BE7D75" w:rsidRPr="00BE7D75" w:rsidRDefault="00BE7D75" w:rsidP="00BE7D75">
      <w:pPr>
        <w:spacing w:after="0" w:line="240" w:lineRule="auto"/>
        <w:rPr>
          <w:rFonts w:eastAsia="Times New Roman"/>
          <w:sz w:val="24"/>
          <w:szCs w:val="24"/>
          <w:lang w:eastAsia="hr-HR"/>
        </w:rPr>
      </w:pPr>
    </w:p>
    <w:p w14:paraId="68722DD5"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 xml:space="preserve">Odredbe </w:t>
      </w:r>
      <w:r w:rsidRPr="00BE7D75">
        <w:rPr>
          <w:rFonts w:eastAsia="Times New Roman"/>
          <w:i/>
          <w:iCs/>
          <w:lang w:eastAsia="hr-HR"/>
        </w:rPr>
        <w:t>Zakona o porezu na dobit</w:t>
      </w:r>
      <w:r w:rsidRPr="00BE7D75">
        <w:rPr>
          <w:rFonts w:eastAsia="Times New Roman"/>
          <w:lang w:eastAsia="hr-HR"/>
        </w:rPr>
        <w:t xml:space="preserve"> vrlo jednoznačno definiraju porezno priznate iznose vrijednosnog usklađenja potraživanja od kupaca, i suštinski se baziraju na </w:t>
      </w:r>
      <w:r w:rsidRPr="00BE7D75">
        <w:rPr>
          <w:rFonts w:eastAsia="Times New Roman"/>
          <w:b/>
          <w:bCs/>
          <w:lang w:eastAsia="hr-HR"/>
        </w:rPr>
        <w:t>modelu nastalog gubitka</w:t>
      </w:r>
      <w:r w:rsidRPr="00BE7D75">
        <w:rPr>
          <w:rFonts w:eastAsia="Times New Roman"/>
          <w:lang w:eastAsia="hr-HR"/>
        </w:rPr>
        <w:t xml:space="preserve"> u skladu sa odredbama MRS 39. Nažalost, </w:t>
      </w:r>
      <w:r w:rsidRPr="00BE7D75">
        <w:rPr>
          <w:rFonts w:eastAsia="Times New Roman"/>
          <w:b/>
          <w:bCs/>
          <w:lang w:eastAsia="hr-HR"/>
        </w:rPr>
        <w:t>ne prepoznaju model očekivanih kreditnih gubitaka</w:t>
      </w:r>
      <w:r w:rsidRPr="00BE7D75">
        <w:rPr>
          <w:rFonts w:eastAsia="Times New Roman"/>
          <w:lang w:eastAsia="hr-HR"/>
        </w:rPr>
        <w:t>. </w:t>
      </w:r>
    </w:p>
    <w:p w14:paraId="7F552016"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Sa poreznog aspekta porezno priznatim rashodima smatraju se sljedeća vrijednosna usklađenja potraživanja od kupaca:</w:t>
      </w:r>
    </w:p>
    <w:p w14:paraId="7FBCF8C7" w14:textId="77777777" w:rsidR="00BE7D75" w:rsidRPr="00BE7D75" w:rsidRDefault="00BE7D75" w:rsidP="00BE7D75">
      <w:pPr>
        <w:numPr>
          <w:ilvl w:val="0"/>
          <w:numId w:val="3"/>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potraživanja od kupaca koja su dospjela 60 dana do kraja poreznog razdoblja (dakle dospjela do 01.11. tekuće godine), a ako ista nisu naplaćena 15 dana prije podnošenja prijave poreza na dobit;</w:t>
      </w:r>
    </w:p>
    <w:p w14:paraId="7CB1C3A8" w14:textId="77777777" w:rsidR="00F1736B" w:rsidRDefault="00BE7D75" w:rsidP="00F1736B">
      <w:pPr>
        <w:numPr>
          <w:ilvl w:val="0"/>
          <w:numId w:val="3"/>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potraživanja od kupaca koja su utužena prije zastare ili se vodi ovršni postupka, ako su prijavljena u stečajnom ili predstečajnom postupku, te ukoliko je postignuta nagodba sa dužnikom. Pri tome</w:t>
      </w:r>
      <w:r w:rsidR="00FB2E53">
        <w:rPr>
          <w:rFonts w:eastAsia="Times New Roman"/>
          <w:lang w:eastAsia="hr-HR"/>
        </w:rPr>
        <w:t>,</w:t>
      </w:r>
      <w:r w:rsidRPr="00BE7D75">
        <w:rPr>
          <w:rFonts w:eastAsia="Times New Roman"/>
          <w:lang w:eastAsia="hr-HR"/>
        </w:rPr>
        <w:t xml:space="preserve"> priznaju se pokrenuti postupci 15 dana prije prijave poreza na dobit.</w:t>
      </w:r>
    </w:p>
    <w:p w14:paraId="0AF8D468" w14:textId="168F56CC" w:rsidR="00BE7D75" w:rsidRPr="00BE7D75" w:rsidRDefault="00BE7D75" w:rsidP="001219BD">
      <w:pPr>
        <w:spacing w:before="100" w:beforeAutospacing="1" w:after="100" w:afterAutospacing="1" w:line="240" w:lineRule="auto"/>
        <w:jc w:val="both"/>
        <w:rPr>
          <w:rFonts w:eastAsia="Times New Roman"/>
          <w:sz w:val="24"/>
          <w:szCs w:val="24"/>
          <w:lang w:eastAsia="hr-HR"/>
        </w:rPr>
      </w:pPr>
      <w:r w:rsidRPr="00F1736B">
        <w:rPr>
          <w:rFonts w:eastAsia="Times New Roman"/>
          <w:lang w:eastAsia="hr-HR"/>
        </w:rPr>
        <w:t>Također, navedene odredbe podrazumijevaju definiranje vrijednosnog usklađenj</w:t>
      </w:r>
      <w:r w:rsidR="00CA0250" w:rsidRPr="00F1736B">
        <w:rPr>
          <w:rFonts w:eastAsia="Times New Roman"/>
          <w:lang w:eastAsia="hr-HR"/>
        </w:rPr>
        <w:t>a</w:t>
      </w:r>
      <w:r w:rsidRPr="00F1736B">
        <w:rPr>
          <w:rFonts w:eastAsia="Times New Roman"/>
          <w:lang w:eastAsia="hr-HR"/>
        </w:rPr>
        <w:t xml:space="preserve"> za svakog pojedinog kupca zasebno.</w:t>
      </w:r>
    </w:p>
    <w:p w14:paraId="06F9519B"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Dakle, u odnosu na model očekivanih kreditnih gubitaka, ključno je navesti da dio ovih troškova vrijednosnog usklađenja neće biti porezno priznati rashod. Navedeno se odnosi na sljedeća potraživanja:</w:t>
      </w:r>
    </w:p>
    <w:p w14:paraId="25BC6726" w14:textId="77777777" w:rsidR="00BE7D75" w:rsidRPr="00BE7D75" w:rsidRDefault="00BE7D75" w:rsidP="00BE7D75">
      <w:pPr>
        <w:numPr>
          <w:ilvl w:val="0"/>
          <w:numId w:val="4"/>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potraživanja koja su nedospjela i dospjela do 60 dana na svaki dan bilance;</w:t>
      </w:r>
    </w:p>
    <w:p w14:paraId="47CDED5A" w14:textId="05719780" w:rsidR="00BE7D75" w:rsidRPr="00BE7D75" w:rsidRDefault="00BE7D75" w:rsidP="00BE7D75">
      <w:pPr>
        <w:numPr>
          <w:ilvl w:val="0"/>
          <w:numId w:val="4"/>
        </w:numPr>
        <w:spacing w:before="100" w:beforeAutospacing="1" w:after="100" w:afterAutospacing="1" w:line="240" w:lineRule="auto"/>
        <w:jc w:val="both"/>
        <w:rPr>
          <w:rFonts w:eastAsia="Times New Roman"/>
          <w:sz w:val="24"/>
          <w:szCs w:val="24"/>
          <w:lang w:eastAsia="hr-HR"/>
        </w:rPr>
      </w:pPr>
      <w:r w:rsidRPr="00BE7D75">
        <w:rPr>
          <w:rFonts w:eastAsia="Times New Roman"/>
          <w:lang w:eastAsia="hr-HR"/>
        </w:rPr>
        <w:t xml:space="preserve">potraživanja koja su naplaćena u narednoj poslovnoj godini 15 dana </w:t>
      </w:r>
      <w:r w:rsidRPr="00F1736B">
        <w:rPr>
          <w:rFonts w:eastAsia="Times New Roman"/>
          <w:lang w:eastAsia="hr-HR"/>
        </w:rPr>
        <w:t>prije podno</w:t>
      </w:r>
      <w:r w:rsidR="00FB2E53" w:rsidRPr="00F1736B">
        <w:rPr>
          <w:rFonts w:eastAsia="Times New Roman"/>
          <w:lang w:eastAsia="hr-HR"/>
        </w:rPr>
        <w:t>š</w:t>
      </w:r>
      <w:r w:rsidRPr="00F1736B">
        <w:rPr>
          <w:rFonts w:eastAsia="Times New Roman"/>
          <w:lang w:eastAsia="hr-HR"/>
        </w:rPr>
        <w:t>enja</w:t>
      </w:r>
      <w:r w:rsidRPr="00BE7D75">
        <w:rPr>
          <w:rFonts w:eastAsia="Times New Roman"/>
          <w:lang w:eastAsia="hr-HR"/>
        </w:rPr>
        <w:t xml:space="preserve"> prijave poreza na dobit.</w:t>
      </w:r>
    </w:p>
    <w:p w14:paraId="421779A6" w14:textId="77777777" w:rsidR="00BE7D75" w:rsidRPr="00BE7D75" w:rsidRDefault="00BE7D75" w:rsidP="00BE7D75">
      <w:pPr>
        <w:spacing w:after="0" w:line="240" w:lineRule="auto"/>
        <w:jc w:val="both"/>
        <w:rPr>
          <w:rFonts w:eastAsia="Times New Roman"/>
          <w:sz w:val="24"/>
          <w:szCs w:val="24"/>
          <w:lang w:eastAsia="hr-HR"/>
        </w:rPr>
      </w:pPr>
      <w:r w:rsidRPr="00BE7D75">
        <w:rPr>
          <w:rFonts w:eastAsia="Times New Roman"/>
          <w:lang w:eastAsia="hr-HR"/>
        </w:rPr>
        <w:t>Podsjećamo da za iznos ovog porezno nepriznatog vrijednosnog usklađenja će biti neophodno formirati i odgođenu poreznu imovinu.</w:t>
      </w:r>
    </w:p>
    <w:p w14:paraId="19A2BAFC" w14:textId="77777777" w:rsidR="00764E6C" w:rsidRDefault="00764E6C"/>
    <w:sectPr w:rsidR="00764E6C" w:rsidSect="00C41E9B">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EEBCA7" w15:done="0"/>
  <w15:commentEx w15:paraId="0FC80F5D" w15:done="0"/>
  <w15:commentEx w15:paraId="09021B36" w15:done="0"/>
  <w15:commentEx w15:paraId="30DA917A" w15:done="0"/>
  <w15:commentEx w15:paraId="4C0BCB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EBCA7" w16cid:durableId="20E04A4D"/>
  <w16cid:commentId w16cid:paraId="0FC80F5D" w16cid:durableId="20E04A3B"/>
  <w16cid:commentId w16cid:paraId="09021B36" w16cid:durableId="20E04971"/>
  <w16cid:commentId w16cid:paraId="30DA917A" w16cid:durableId="20E049B3"/>
  <w16cid:commentId w16cid:paraId="4C0BCB43" w16cid:durableId="20E04A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645D5"/>
    <w:multiLevelType w:val="multilevel"/>
    <w:tmpl w:val="A238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C2567"/>
    <w:multiLevelType w:val="multilevel"/>
    <w:tmpl w:val="39E4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FC4E39"/>
    <w:multiLevelType w:val="multilevel"/>
    <w:tmpl w:val="4052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B04A5A"/>
    <w:multiLevelType w:val="multilevel"/>
    <w:tmpl w:val="6224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ša Kranjčec Makek">
    <w15:presenceInfo w15:providerId="AD" w15:userId="S-1-5-21-1295187786-2100822744-1759517930-1189"/>
  </w15:person>
  <w15:person w15:author="Suzana Brnadić">
    <w15:presenceInfo w15:providerId="AD" w15:userId="S-1-5-21-1295187786-2100822744-1759517930-1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75"/>
    <w:rsid w:val="001219BD"/>
    <w:rsid w:val="00403C6F"/>
    <w:rsid w:val="00433E4D"/>
    <w:rsid w:val="005617F2"/>
    <w:rsid w:val="00764E6C"/>
    <w:rsid w:val="007919C3"/>
    <w:rsid w:val="00A82BA9"/>
    <w:rsid w:val="00BC4BA2"/>
    <w:rsid w:val="00BE7D75"/>
    <w:rsid w:val="00C41E9B"/>
    <w:rsid w:val="00CA0250"/>
    <w:rsid w:val="00CF2810"/>
    <w:rsid w:val="00EB325B"/>
    <w:rsid w:val="00F1736B"/>
    <w:rsid w:val="00FB2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3C6F"/>
    <w:rPr>
      <w:sz w:val="16"/>
      <w:szCs w:val="16"/>
    </w:rPr>
  </w:style>
  <w:style w:type="paragraph" w:styleId="CommentText">
    <w:name w:val="annotation text"/>
    <w:basedOn w:val="Normal"/>
    <w:link w:val="CommentTextChar"/>
    <w:uiPriority w:val="99"/>
    <w:semiHidden/>
    <w:unhideWhenUsed/>
    <w:rsid w:val="00403C6F"/>
    <w:pPr>
      <w:spacing w:line="240" w:lineRule="auto"/>
    </w:pPr>
    <w:rPr>
      <w:sz w:val="20"/>
      <w:szCs w:val="20"/>
    </w:rPr>
  </w:style>
  <w:style w:type="character" w:customStyle="1" w:styleId="CommentTextChar">
    <w:name w:val="Comment Text Char"/>
    <w:basedOn w:val="DefaultParagraphFont"/>
    <w:link w:val="CommentText"/>
    <w:uiPriority w:val="99"/>
    <w:semiHidden/>
    <w:rsid w:val="00403C6F"/>
    <w:rPr>
      <w:sz w:val="20"/>
      <w:szCs w:val="20"/>
    </w:rPr>
  </w:style>
  <w:style w:type="paragraph" w:styleId="CommentSubject">
    <w:name w:val="annotation subject"/>
    <w:basedOn w:val="CommentText"/>
    <w:next w:val="CommentText"/>
    <w:link w:val="CommentSubjectChar"/>
    <w:uiPriority w:val="99"/>
    <w:semiHidden/>
    <w:unhideWhenUsed/>
    <w:rsid w:val="00403C6F"/>
    <w:rPr>
      <w:b/>
      <w:bCs/>
    </w:rPr>
  </w:style>
  <w:style w:type="character" w:customStyle="1" w:styleId="CommentSubjectChar">
    <w:name w:val="Comment Subject Char"/>
    <w:basedOn w:val="CommentTextChar"/>
    <w:link w:val="CommentSubject"/>
    <w:uiPriority w:val="99"/>
    <w:semiHidden/>
    <w:rsid w:val="00403C6F"/>
    <w:rPr>
      <w:b/>
      <w:bCs/>
      <w:sz w:val="20"/>
      <w:szCs w:val="20"/>
    </w:rPr>
  </w:style>
  <w:style w:type="paragraph" w:styleId="BalloonText">
    <w:name w:val="Balloon Text"/>
    <w:basedOn w:val="Normal"/>
    <w:link w:val="BalloonTextChar"/>
    <w:uiPriority w:val="99"/>
    <w:semiHidden/>
    <w:unhideWhenUsed/>
    <w:rsid w:val="00403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C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3C6F"/>
    <w:rPr>
      <w:sz w:val="16"/>
      <w:szCs w:val="16"/>
    </w:rPr>
  </w:style>
  <w:style w:type="paragraph" w:styleId="CommentText">
    <w:name w:val="annotation text"/>
    <w:basedOn w:val="Normal"/>
    <w:link w:val="CommentTextChar"/>
    <w:uiPriority w:val="99"/>
    <w:semiHidden/>
    <w:unhideWhenUsed/>
    <w:rsid w:val="00403C6F"/>
    <w:pPr>
      <w:spacing w:line="240" w:lineRule="auto"/>
    </w:pPr>
    <w:rPr>
      <w:sz w:val="20"/>
      <w:szCs w:val="20"/>
    </w:rPr>
  </w:style>
  <w:style w:type="character" w:customStyle="1" w:styleId="CommentTextChar">
    <w:name w:val="Comment Text Char"/>
    <w:basedOn w:val="DefaultParagraphFont"/>
    <w:link w:val="CommentText"/>
    <w:uiPriority w:val="99"/>
    <w:semiHidden/>
    <w:rsid w:val="00403C6F"/>
    <w:rPr>
      <w:sz w:val="20"/>
      <w:szCs w:val="20"/>
    </w:rPr>
  </w:style>
  <w:style w:type="paragraph" w:styleId="CommentSubject">
    <w:name w:val="annotation subject"/>
    <w:basedOn w:val="CommentText"/>
    <w:next w:val="CommentText"/>
    <w:link w:val="CommentSubjectChar"/>
    <w:uiPriority w:val="99"/>
    <w:semiHidden/>
    <w:unhideWhenUsed/>
    <w:rsid w:val="00403C6F"/>
    <w:rPr>
      <w:b/>
      <w:bCs/>
    </w:rPr>
  </w:style>
  <w:style w:type="character" w:customStyle="1" w:styleId="CommentSubjectChar">
    <w:name w:val="Comment Subject Char"/>
    <w:basedOn w:val="CommentTextChar"/>
    <w:link w:val="CommentSubject"/>
    <w:uiPriority w:val="99"/>
    <w:semiHidden/>
    <w:rsid w:val="00403C6F"/>
    <w:rPr>
      <w:b/>
      <w:bCs/>
      <w:sz w:val="20"/>
      <w:szCs w:val="20"/>
    </w:rPr>
  </w:style>
  <w:style w:type="paragraph" w:styleId="BalloonText">
    <w:name w:val="Balloon Text"/>
    <w:basedOn w:val="Normal"/>
    <w:link w:val="BalloonTextChar"/>
    <w:uiPriority w:val="99"/>
    <w:semiHidden/>
    <w:unhideWhenUsed/>
    <w:rsid w:val="00403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3672">
      <w:bodyDiv w:val="1"/>
      <w:marLeft w:val="0"/>
      <w:marRight w:val="0"/>
      <w:marTop w:val="0"/>
      <w:marBottom w:val="0"/>
      <w:divBdr>
        <w:top w:val="none" w:sz="0" w:space="0" w:color="auto"/>
        <w:left w:val="none" w:sz="0" w:space="0" w:color="auto"/>
        <w:bottom w:val="none" w:sz="0" w:space="0" w:color="auto"/>
        <w:right w:val="none" w:sz="0" w:space="0" w:color="auto"/>
      </w:divBdr>
      <w:divsChild>
        <w:div w:id="1063135129">
          <w:marLeft w:val="0"/>
          <w:marRight w:val="0"/>
          <w:marTop w:val="0"/>
          <w:marBottom w:val="0"/>
          <w:divBdr>
            <w:top w:val="none" w:sz="0" w:space="0" w:color="auto"/>
            <w:left w:val="none" w:sz="0" w:space="0" w:color="auto"/>
            <w:bottom w:val="none" w:sz="0" w:space="0" w:color="auto"/>
            <w:right w:val="none" w:sz="0" w:space="0" w:color="auto"/>
          </w:divBdr>
        </w:div>
        <w:div w:id="833301254">
          <w:marLeft w:val="0"/>
          <w:marRight w:val="0"/>
          <w:marTop w:val="0"/>
          <w:marBottom w:val="0"/>
          <w:divBdr>
            <w:top w:val="none" w:sz="0" w:space="0" w:color="auto"/>
            <w:left w:val="none" w:sz="0" w:space="0" w:color="auto"/>
            <w:bottom w:val="none" w:sz="0" w:space="0" w:color="auto"/>
            <w:right w:val="none" w:sz="0" w:space="0" w:color="auto"/>
          </w:divBdr>
        </w:div>
        <w:div w:id="119540500">
          <w:marLeft w:val="0"/>
          <w:marRight w:val="0"/>
          <w:marTop w:val="0"/>
          <w:marBottom w:val="0"/>
          <w:divBdr>
            <w:top w:val="none" w:sz="0" w:space="0" w:color="auto"/>
            <w:left w:val="none" w:sz="0" w:space="0" w:color="auto"/>
            <w:bottom w:val="none" w:sz="0" w:space="0" w:color="auto"/>
            <w:right w:val="none" w:sz="0" w:space="0" w:color="auto"/>
          </w:divBdr>
        </w:div>
        <w:div w:id="2132553548">
          <w:marLeft w:val="0"/>
          <w:marRight w:val="0"/>
          <w:marTop w:val="0"/>
          <w:marBottom w:val="0"/>
          <w:divBdr>
            <w:top w:val="none" w:sz="0" w:space="0" w:color="auto"/>
            <w:left w:val="none" w:sz="0" w:space="0" w:color="auto"/>
            <w:bottom w:val="none" w:sz="0" w:space="0" w:color="auto"/>
            <w:right w:val="none" w:sz="0" w:space="0" w:color="auto"/>
          </w:divBdr>
        </w:div>
        <w:div w:id="362364501">
          <w:marLeft w:val="0"/>
          <w:marRight w:val="0"/>
          <w:marTop w:val="0"/>
          <w:marBottom w:val="0"/>
          <w:divBdr>
            <w:top w:val="none" w:sz="0" w:space="0" w:color="auto"/>
            <w:left w:val="none" w:sz="0" w:space="0" w:color="auto"/>
            <w:bottom w:val="none" w:sz="0" w:space="0" w:color="auto"/>
            <w:right w:val="none" w:sz="0" w:space="0" w:color="auto"/>
          </w:divBdr>
        </w:div>
        <w:div w:id="1658415252">
          <w:marLeft w:val="0"/>
          <w:marRight w:val="0"/>
          <w:marTop w:val="0"/>
          <w:marBottom w:val="0"/>
          <w:divBdr>
            <w:top w:val="none" w:sz="0" w:space="0" w:color="auto"/>
            <w:left w:val="none" w:sz="0" w:space="0" w:color="auto"/>
            <w:bottom w:val="none" w:sz="0" w:space="0" w:color="auto"/>
            <w:right w:val="none" w:sz="0" w:space="0" w:color="auto"/>
          </w:divBdr>
        </w:div>
        <w:div w:id="593515960">
          <w:marLeft w:val="0"/>
          <w:marRight w:val="0"/>
          <w:marTop w:val="0"/>
          <w:marBottom w:val="0"/>
          <w:divBdr>
            <w:top w:val="none" w:sz="0" w:space="0" w:color="auto"/>
            <w:left w:val="none" w:sz="0" w:space="0" w:color="auto"/>
            <w:bottom w:val="none" w:sz="0" w:space="0" w:color="auto"/>
            <w:right w:val="none" w:sz="0" w:space="0" w:color="auto"/>
          </w:divBdr>
        </w:div>
        <w:div w:id="46345394">
          <w:marLeft w:val="0"/>
          <w:marRight w:val="0"/>
          <w:marTop w:val="0"/>
          <w:marBottom w:val="0"/>
          <w:divBdr>
            <w:top w:val="none" w:sz="0" w:space="0" w:color="auto"/>
            <w:left w:val="none" w:sz="0" w:space="0" w:color="auto"/>
            <w:bottom w:val="none" w:sz="0" w:space="0" w:color="auto"/>
            <w:right w:val="none" w:sz="0" w:space="0" w:color="auto"/>
          </w:divBdr>
        </w:div>
        <w:div w:id="922645490">
          <w:marLeft w:val="0"/>
          <w:marRight w:val="0"/>
          <w:marTop w:val="0"/>
          <w:marBottom w:val="0"/>
          <w:divBdr>
            <w:top w:val="none" w:sz="0" w:space="0" w:color="auto"/>
            <w:left w:val="none" w:sz="0" w:space="0" w:color="auto"/>
            <w:bottom w:val="none" w:sz="0" w:space="0" w:color="auto"/>
            <w:right w:val="none" w:sz="0" w:space="0" w:color="auto"/>
          </w:divBdr>
        </w:div>
        <w:div w:id="1024283426">
          <w:marLeft w:val="0"/>
          <w:marRight w:val="0"/>
          <w:marTop w:val="0"/>
          <w:marBottom w:val="0"/>
          <w:divBdr>
            <w:top w:val="none" w:sz="0" w:space="0" w:color="auto"/>
            <w:left w:val="none" w:sz="0" w:space="0" w:color="auto"/>
            <w:bottom w:val="none" w:sz="0" w:space="0" w:color="auto"/>
            <w:right w:val="none" w:sz="0" w:space="0" w:color="auto"/>
          </w:divBdr>
        </w:div>
        <w:div w:id="1407415239">
          <w:marLeft w:val="0"/>
          <w:marRight w:val="0"/>
          <w:marTop w:val="0"/>
          <w:marBottom w:val="0"/>
          <w:divBdr>
            <w:top w:val="none" w:sz="0" w:space="0" w:color="auto"/>
            <w:left w:val="none" w:sz="0" w:space="0" w:color="auto"/>
            <w:bottom w:val="none" w:sz="0" w:space="0" w:color="auto"/>
            <w:right w:val="none" w:sz="0" w:space="0" w:color="auto"/>
          </w:divBdr>
        </w:div>
        <w:div w:id="982198014">
          <w:marLeft w:val="0"/>
          <w:marRight w:val="0"/>
          <w:marTop w:val="0"/>
          <w:marBottom w:val="0"/>
          <w:divBdr>
            <w:top w:val="none" w:sz="0" w:space="0" w:color="auto"/>
            <w:left w:val="none" w:sz="0" w:space="0" w:color="auto"/>
            <w:bottom w:val="none" w:sz="0" w:space="0" w:color="auto"/>
            <w:right w:val="none" w:sz="0" w:space="0" w:color="auto"/>
          </w:divBdr>
        </w:div>
        <w:div w:id="2131047957">
          <w:marLeft w:val="0"/>
          <w:marRight w:val="0"/>
          <w:marTop w:val="0"/>
          <w:marBottom w:val="0"/>
          <w:divBdr>
            <w:top w:val="none" w:sz="0" w:space="0" w:color="auto"/>
            <w:left w:val="none" w:sz="0" w:space="0" w:color="auto"/>
            <w:bottom w:val="none" w:sz="0" w:space="0" w:color="auto"/>
            <w:right w:val="none" w:sz="0" w:space="0" w:color="auto"/>
          </w:divBdr>
        </w:div>
        <w:div w:id="1400178370">
          <w:marLeft w:val="0"/>
          <w:marRight w:val="0"/>
          <w:marTop w:val="0"/>
          <w:marBottom w:val="0"/>
          <w:divBdr>
            <w:top w:val="none" w:sz="0" w:space="0" w:color="auto"/>
            <w:left w:val="none" w:sz="0" w:space="0" w:color="auto"/>
            <w:bottom w:val="none" w:sz="0" w:space="0" w:color="auto"/>
            <w:right w:val="none" w:sz="0" w:space="0" w:color="auto"/>
          </w:divBdr>
        </w:div>
        <w:div w:id="1174416438">
          <w:marLeft w:val="0"/>
          <w:marRight w:val="0"/>
          <w:marTop w:val="0"/>
          <w:marBottom w:val="0"/>
          <w:divBdr>
            <w:top w:val="none" w:sz="0" w:space="0" w:color="auto"/>
            <w:left w:val="none" w:sz="0" w:space="0" w:color="auto"/>
            <w:bottom w:val="none" w:sz="0" w:space="0" w:color="auto"/>
            <w:right w:val="none" w:sz="0" w:space="0" w:color="auto"/>
          </w:divBdr>
        </w:div>
        <w:div w:id="455491485">
          <w:marLeft w:val="0"/>
          <w:marRight w:val="0"/>
          <w:marTop w:val="0"/>
          <w:marBottom w:val="0"/>
          <w:divBdr>
            <w:top w:val="none" w:sz="0" w:space="0" w:color="auto"/>
            <w:left w:val="none" w:sz="0" w:space="0" w:color="auto"/>
            <w:bottom w:val="none" w:sz="0" w:space="0" w:color="auto"/>
            <w:right w:val="none" w:sz="0" w:space="0" w:color="auto"/>
          </w:divBdr>
        </w:div>
        <w:div w:id="119228992">
          <w:marLeft w:val="0"/>
          <w:marRight w:val="0"/>
          <w:marTop w:val="0"/>
          <w:marBottom w:val="0"/>
          <w:divBdr>
            <w:top w:val="none" w:sz="0" w:space="0" w:color="auto"/>
            <w:left w:val="none" w:sz="0" w:space="0" w:color="auto"/>
            <w:bottom w:val="none" w:sz="0" w:space="0" w:color="auto"/>
            <w:right w:val="none" w:sz="0" w:space="0" w:color="auto"/>
          </w:divBdr>
        </w:div>
        <w:div w:id="453793241">
          <w:marLeft w:val="0"/>
          <w:marRight w:val="0"/>
          <w:marTop w:val="0"/>
          <w:marBottom w:val="0"/>
          <w:divBdr>
            <w:top w:val="none" w:sz="0" w:space="0" w:color="auto"/>
            <w:left w:val="none" w:sz="0" w:space="0" w:color="auto"/>
            <w:bottom w:val="none" w:sz="0" w:space="0" w:color="auto"/>
            <w:right w:val="none" w:sz="0" w:space="0" w:color="auto"/>
          </w:divBdr>
        </w:div>
        <w:div w:id="114258225">
          <w:marLeft w:val="0"/>
          <w:marRight w:val="0"/>
          <w:marTop w:val="0"/>
          <w:marBottom w:val="0"/>
          <w:divBdr>
            <w:top w:val="none" w:sz="0" w:space="0" w:color="auto"/>
            <w:left w:val="none" w:sz="0" w:space="0" w:color="auto"/>
            <w:bottom w:val="none" w:sz="0" w:space="0" w:color="auto"/>
            <w:right w:val="none" w:sz="0" w:space="0" w:color="auto"/>
          </w:divBdr>
        </w:div>
        <w:div w:id="130054501">
          <w:marLeft w:val="0"/>
          <w:marRight w:val="0"/>
          <w:marTop w:val="0"/>
          <w:marBottom w:val="0"/>
          <w:divBdr>
            <w:top w:val="none" w:sz="0" w:space="0" w:color="auto"/>
            <w:left w:val="none" w:sz="0" w:space="0" w:color="auto"/>
            <w:bottom w:val="none" w:sz="0" w:space="0" w:color="auto"/>
            <w:right w:val="none" w:sz="0" w:space="0" w:color="auto"/>
          </w:divBdr>
        </w:div>
        <w:div w:id="1037244525">
          <w:marLeft w:val="0"/>
          <w:marRight w:val="0"/>
          <w:marTop w:val="0"/>
          <w:marBottom w:val="0"/>
          <w:divBdr>
            <w:top w:val="none" w:sz="0" w:space="0" w:color="auto"/>
            <w:left w:val="none" w:sz="0" w:space="0" w:color="auto"/>
            <w:bottom w:val="none" w:sz="0" w:space="0" w:color="auto"/>
            <w:right w:val="none" w:sz="0" w:space="0" w:color="auto"/>
          </w:divBdr>
        </w:div>
        <w:div w:id="631863233">
          <w:marLeft w:val="0"/>
          <w:marRight w:val="0"/>
          <w:marTop w:val="0"/>
          <w:marBottom w:val="0"/>
          <w:divBdr>
            <w:top w:val="none" w:sz="0" w:space="0" w:color="auto"/>
            <w:left w:val="none" w:sz="0" w:space="0" w:color="auto"/>
            <w:bottom w:val="none" w:sz="0" w:space="0" w:color="auto"/>
            <w:right w:val="none" w:sz="0" w:space="0" w:color="auto"/>
          </w:divBdr>
        </w:div>
        <w:div w:id="1129740646">
          <w:marLeft w:val="0"/>
          <w:marRight w:val="0"/>
          <w:marTop w:val="0"/>
          <w:marBottom w:val="0"/>
          <w:divBdr>
            <w:top w:val="none" w:sz="0" w:space="0" w:color="auto"/>
            <w:left w:val="none" w:sz="0" w:space="0" w:color="auto"/>
            <w:bottom w:val="none" w:sz="0" w:space="0" w:color="auto"/>
            <w:right w:val="none" w:sz="0" w:space="0" w:color="auto"/>
          </w:divBdr>
        </w:div>
        <w:div w:id="1536652828">
          <w:marLeft w:val="0"/>
          <w:marRight w:val="0"/>
          <w:marTop w:val="0"/>
          <w:marBottom w:val="0"/>
          <w:divBdr>
            <w:top w:val="none" w:sz="0" w:space="0" w:color="auto"/>
            <w:left w:val="none" w:sz="0" w:space="0" w:color="auto"/>
            <w:bottom w:val="none" w:sz="0" w:space="0" w:color="auto"/>
            <w:right w:val="none" w:sz="0" w:space="0" w:color="auto"/>
          </w:divBdr>
        </w:div>
        <w:div w:id="1086608033">
          <w:marLeft w:val="0"/>
          <w:marRight w:val="0"/>
          <w:marTop w:val="0"/>
          <w:marBottom w:val="0"/>
          <w:divBdr>
            <w:top w:val="none" w:sz="0" w:space="0" w:color="auto"/>
            <w:left w:val="none" w:sz="0" w:space="0" w:color="auto"/>
            <w:bottom w:val="none" w:sz="0" w:space="0" w:color="auto"/>
            <w:right w:val="none" w:sz="0" w:space="0" w:color="auto"/>
          </w:divBdr>
        </w:div>
        <w:div w:id="2097245932">
          <w:marLeft w:val="0"/>
          <w:marRight w:val="0"/>
          <w:marTop w:val="0"/>
          <w:marBottom w:val="0"/>
          <w:divBdr>
            <w:top w:val="none" w:sz="0" w:space="0" w:color="auto"/>
            <w:left w:val="none" w:sz="0" w:space="0" w:color="auto"/>
            <w:bottom w:val="none" w:sz="0" w:space="0" w:color="auto"/>
            <w:right w:val="none" w:sz="0" w:space="0" w:color="auto"/>
          </w:divBdr>
        </w:div>
        <w:div w:id="4283239">
          <w:marLeft w:val="0"/>
          <w:marRight w:val="0"/>
          <w:marTop w:val="0"/>
          <w:marBottom w:val="0"/>
          <w:divBdr>
            <w:top w:val="none" w:sz="0" w:space="0" w:color="auto"/>
            <w:left w:val="none" w:sz="0" w:space="0" w:color="auto"/>
            <w:bottom w:val="none" w:sz="0" w:space="0" w:color="auto"/>
            <w:right w:val="none" w:sz="0" w:space="0" w:color="auto"/>
          </w:divBdr>
        </w:div>
        <w:div w:id="484510154">
          <w:marLeft w:val="0"/>
          <w:marRight w:val="0"/>
          <w:marTop w:val="0"/>
          <w:marBottom w:val="0"/>
          <w:divBdr>
            <w:top w:val="none" w:sz="0" w:space="0" w:color="auto"/>
            <w:left w:val="none" w:sz="0" w:space="0" w:color="auto"/>
            <w:bottom w:val="none" w:sz="0" w:space="0" w:color="auto"/>
            <w:right w:val="none" w:sz="0" w:space="0" w:color="auto"/>
          </w:divBdr>
        </w:div>
        <w:div w:id="470489213">
          <w:marLeft w:val="0"/>
          <w:marRight w:val="0"/>
          <w:marTop w:val="0"/>
          <w:marBottom w:val="0"/>
          <w:divBdr>
            <w:top w:val="none" w:sz="0" w:space="0" w:color="auto"/>
            <w:left w:val="none" w:sz="0" w:space="0" w:color="auto"/>
            <w:bottom w:val="none" w:sz="0" w:space="0" w:color="auto"/>
            <w:right w:val="none" w:sz="0" w:space="0" w:color="auto"/>
          </w:divBdr>
        </w:div>
        <w:div w:id="291599681">
          <w:marLeft w:val="0"/>
          <w:marRight w:val="0"/>
          <w:marTop w:val="0"/>
          <w:marBottom w:val="0"/>
          <w:divBdr>
            <w:top w:val="none" w:sz="0" w:space="0" w:color="auto"/>
            <w:left w:val="none" w:sz="0" w:space="0" w:color="auto"/>
            <w:bottom w:val="none" w:sz="0" w:space="0" w:color="auto"/>
            <w:right w:val="none" w:sz="0" w:space="0" w:color="auto"/>
          </w:divBdr>
        </w:div>
        <w:div w:id="1859004023">
          <w:marLeft w:val="0"/>
          <w:marRight w:val="0"/>
          <w:marTop w:val="0"/>
          <w:marBottom w:val="0"/>
          <w:divBdr>
            <w:top w:val="none" w:sz="0" w:space="0" w:color="auto"/>
            <w:left w:val="none" w:sz="0" w:space="0" w:color="auto"/>
            <w:bottom w:val="none" w:sz="0" w:space="0" w:color="auto"/>
            <w:right w:val="none" w:sz="0" w:space="0" w:color="auto"/>
          </w:divBdr>
        </w:div>
        <w:div w:id="849415445">
          <w:marLeft w:val="0"/>
          <w:marRight w:val="0"/>
          <w:marTop w:val="0"/>
          <w:marBottom w:val="0"/>
          <w:divBdr>
            <w:top w:val="none" w:sz="0" w:space="0" w:color="auto"/>
            <w:left w:val="none" w:sz="0" w:space="0" w:color="auto"/>
            <w:bottom w:val="none" w:sz="0" w:space="0" w:color="auto"/>
            <w:right w:val="none" w:sz="0" w:space="0" w:color="auto"/>
          </w:divBdr>
        </w:div>
        <w:div w:id="1705397872">
          <w:marLeft w:val="0"/>
          <w:marRight w:val="0"/>
          <w:marTop w:val="0"/>
          <w:marBottom w:val="0"/>
          <w:divBdr>
            <w:top w:val="none" w:sz="0" w:space="0" w:color="auto"/>
            <w:left w:val="none" w:sz="0" w:space="0" w:color="auto"/>
            <w:bottom w:val="none" w:sz="0" w:space="0" w:color="auto"/>
            <w:right w:val="none" w:sz="0" w:space="0" w:color="auto"/>
          </w:divBdr>
        </w:div>
        <w:div w:id="797145938">
          <w:marLeft w:val="0"/>
          <w:marRight w:val="0"/>
          <w:marTop w:val="0"/>
          <w:marBottom w:val="0"/>
          <w:divBdr>
            <w:top w:val="none" w:sz="0" w:space="0" w:color="auto"/>
            <w:left w:val="none" w:sz="0" w:space="0" w:color="auto"/>
            <w:bottom w:val="none" w:sz="0" w:space="0" w:color="auto"/>
            <w:right w:val="none" w:sz="0" w:space="0" w:color="auto"/>
          </w:divBdr>
        </w:div>
        <w:div w:id="849837186">
          <w:marLeft w:val="0"/>
          <w:marRight w:val="0"/>
          <w:marTop w:val="0"/>
          <w:marBottom w:val="0"/>
          <w:divBdr>
            <w:top w:val="none" w:sz="0" w:space="0" w:color="auto"/>
            <w:left w:val="none" w:sz="0" w:space="0" w:color="auto"/>
            <w:bottom w:val="none" w:sz="0" w:space="0" w:color="auto"/>
            <w:right w:val="none" w:sz="0" w:space="0" w:color="auto"/>
          </w:divBdr>
        </w:div>
        <w:div w:id="586037382">
          <w:marLeft w:val="0"/>
          <w:marRight w:val="0"/>
          <w:marTop w:val="0"/>
          <w:marBottom w:val="0"/>
          <w:divBdr>
            <w:top w:val="none" w:sz="0" w:space="0" w:color="auto"/>
            <w:left w:val="none" w:sz="0" w:space="0" w:color="auto"/>
            <w:bottom w:val="none" w:sz="0" w:space="0" w:color="auto"/>
            <w:right w:val="none" w:sz="0" w:space="0" w:color="auto"/>
          </w:divBdr>
        </w:div>
        <w:div w:id="2033453486">
          <w:marLeft w:val="0"/>
          <w:marRight w:val="0"/>
          <w:marTop w:val="0"/>
          <w:marBottom w:val="0"/>
          <w:divBdr>
            <w:top w:val="none" w:sz="0" w:space="0" w:color="auto"/>
            <w:left w:val="none" w:sz="0" w:space="0" w:color="auto"/>
            <w:bottom w:val="none" w:sz="0" w:space="0" w:color="auto"/>
            <w:right w:val="none" w:sz="0" w:space="0" w:color="auto"/>
          </w:divBdr>
        </w:div>
        <w:div w:id="1683817773">
          <w:marLeft w:val="0"/>
          <w:marRight w:val="0"/>
          <w:marTop w:val="0"/>
          <w:marBottom w:val="0"/>
          <w:divBdr>
            <w:top w:val="none" w:sz="0" w:space="0" w:color="auto"/>
            <w:left w:val="none" w:sz="0" w:space="0" w:color="auto"/>
            <w:bottom w:val="none" w:sz="0" w:space="0" w:color="auto"/>
            <w:right w:val="none" w:sz="0" w:space="0" w:color="auto"/>
          </w:divBdr>
        </w:div>
        <w:div w:id="443622612">
          <w:marLeft w:val="0"/>
          <w:marRight w:val="0"/>
          <w:marTop w:val="0"/>
          <w:marBottom w:val="0"/>
          <w:divBdr>
            <w:top w:val="none" w:sz="0" w:space="0" w:color="auto"/>
            <w:left w:val="none" w:sz="0" w:space="0" w:color="auto"/>
            <w:bottom w:val="none" w:sz="0" w:space="0" w:color="auto"/>
            <w:right w:val="none" w:sz="0" w:space="0" w:color="auto"/>
          </w:divBdr>
        </w:div>
        <w:div w:id="1928807585">
          <w:marLeft w:val="0"/>
          <w:marRight w:val="0"/>
          <w:marTop w:val="0"/>
          <w:marBottom w:val="0"/>
          <w:divBdr>
            <w:top w:val="none" w:sz="0" w:space="0" w:color="auto"/>
            <w:left w:val="none" w:sz="0" w:space="0" w:color="auto"/>
            <w:bottom w:val="none" w:sz="0" w:space="0" w:color="auto"/>
            <w:right w:val="none" w:sz="0" w:space="0" w:color="auto"/>
          </w:divBdr>
        </w:div>
        <w:div w:id="1807509241">
          <w:marLeft w:val="0"/>
          <w:marRight w:val="0"/>
          <w:marTop w:val="0"/>
          <w:marBottom w:val="0"/>
          <w:divBdr>
            <w:top w:val="none" w:sz="0" w:space="0" w:color="auto"/>
            <w:left w:val="none" w:sz="0" w:space="0" w:color="auto"/>
            <w:bottom w:val="none" w:sz="0" w:space="0" w:color="auto"/>
            <w:right w:val="none" w:sz="0" w:space="0" w:color="auto"/>
          </w:divBdr>
        </w:div>
        <w:div w:id="1925725680">
          <w:marLeft w:val="0"/>
          <w:marRight w:val="0"/>
          <w:marTop w:val="0"/>
          <w:marBottom w:val="0"/>
          <w:divBdr>
            <w:top w:val="none" w:sz="0" w:space="0" w:color="auto"/>
            <w:left w:val="none" w:sz="0" w:space="0" w:color="auto"/>
            <w:bottom w:val="none" w:sz="0" w:space="0" w:color="auto"/>
            <w:right w:val="none" w:sz="0" w:space="0" w:color="auto"/>
          </w:divBdr>
        </w:div>
        <w:div w:id="1242838783">
          <w:marLeft w:val="0"/>
          <w:marRight w:val="0"/>
          <w:marTop w:val="0"/>
          <w:marBottom w:val="0"/>
          <w:divBdr>
            <w:top w:val="none" w:sz="0" w:space="0" w:color="auto"/>
            <w:left w:val="none" w:sz="0" w:space="0" w:color="auto"/>
            <w:bottom w:val="none" w:sz="0" w:space="0" w:color="auto"/>
            <w:right w:val="none" w:sz="0" w:space="0" w:color="auto"/>
          </w:divBdr>
        </w:div>
        <w:div w:id="1820075233">
          <w:marLeft w:val="0"/>
          <w:marRight w:val="0"/>
          <w:marTop w:val="0"/>
          <w:marBottom w:val="0"/>
          <w:divBdr>
            <w:top w:val="none" w:sz="0" w:space="0" w:color="auto"/>
            <w:left w:val="none" w:sz="0" w:space="0" w:color="auto"/>
            <w:bottom w:val="none" w:sz="0" w:space="0" w:color="auto"/>
            <w:right w:val="none" w:sz="0" w:space="0" w:color="auto"/>
          </w:divBdr>
        </w:div>
        <w:div w:id="1804469007">
          <w:marLeft w:val="0"/>
          <w:marRight w:val="0"/>
          <w:marTop w:val="0"/>
          <w:marBottom w:val="0"/>
          <w:divBdr>
            <w:top w:val="none" w:sz="0" w:space="0" w:color="auto"/>
            <w:left w:val="none" w:sz="0" w:space="0" w:color="auto"/>
            <w:bottom w:val="none" w:sz="0" w:space="0" w:color="auto"/>
            <w:right w:val="none" w:sz="0" w:space="0" w:color="auto"/>
          </w:divBdr>
        </w:div>
        <w:div w:id="1553544755">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608854361">
          <w:marLeft w:val="0"/>
          <w:marRight w:val="0"/>
          <w:marTop w:val="0"/>
          <w:marBottom w:val="0"/>
          <w:divBdr>
            <w:top w:val="none" w:sz="0" w:space="0" w:color="auto"/>
            <w:left w:val="none" w:sz="0" w:space="0" w:color="auto"/>
            <w:bottom w:val="none" w:sz="0" w:space="0" w:color="auto"/>
            <w:right w:val="none" w:sz="0" w:space="0" w:color="auto"/>
          </w:divBdr>
        </w:div>
        <w:div w:id="922686401">
          <w:marLeft w:val="0"/>
          <w:marRight w:val="0"/>
          <w:marTop w:val="0"/>
          <w:marBottom w:val="0"/>
          <w:divBdr>
            <w:top w:val="none" w:sz="0" w:space="0" w:color="auto"/>
            <w:left w:val="none" w:sz="0" w:space="0" w:color="auto"/>
            <w:bottom w:val="none" w:sz="0" w:space="0" w:color="auto"/>
            <w:right w:val="none" w:sz="0" w:space="0" w:color="auto"/>
          </w:divBdr>
        </w:div>
        <w:div w:id="1555770112">
          <w:marLeft w:val="0"/>
          <w:marRight w:val="0"/>
          <w:marTop w:val="0"/>
          <w:marBottom w:val="0"/>
          <w:divBdr>
            <w:top w:val="none" w:sz="0" w:space="0" w:color="auto"/>
            <w:left w:val="none" w:sz="0" w:space="0" w:color="auto"/>
            <w:bottom w:val="none" w:sz="0" w:space="0" w:color="auto"/>
            <w:right w:val="none" w:sz="0" w:space="0" w:color="auto"/>
          </w:divBdr>
        </w:div>
        <w:div w:id="655038701">
          <w:marLeft w:val="0"/>
          <w:marRight w:val="0"/>
          <w:marTop w:val="0"/>
          <w:marBottom w:val="0"/>
          <w:divBdr>
            <w:top w:val="none" w:sz="0" w:space="0" w:color="auto"/>
            <w:left w:val="none" w:sz="0" w:space="0" w:color="auto"/>
            <w:bottom w:val="none" w:sz="0" w:space="0" w:color="auto"/>
            <w:right w:val="none" w:sz="0" w:space="0" w:color="auto"/>
          </w:divBdr>
        </w:div>
        <w:div w:id="1566260170">
          <w:marLeft w:val="0"/>
          <w:marRight w:val="0"/>
          <w:marTop w:val="0"/>
          <w:marBottom w:val="0"/>
          <w:divBdr>
            <w:top w:val="none" w:sz="0" w:space="0" w:color="auto"/>
            <w:left w:val="none" w:sz="0" w:space="0" w:color="auto"/>
            <w:bottom w:val="none" w:sz="0" w:space="0" w:color="auto"/>
            <w:right w:val="none" w:sz="0" w:space="0" w:color="auto"/>
          </w:divBdr>
        </w:div>
        <w:div w:id="1500731272">
          <w:marLeft w:val="0"/>
          <w:marRight w:val="0"/>
          <w:marTop w:val="0"/>
          <w:marBottom w:val="0"/>
          <w:divBdr>
            <w:top w:val="none" w:sz="0" w:space="0" w:color="auto"/>
            <w:left w:val="none" w:sz="0" w:space="0" w:color="auto"/>
            <w:bottom w:val="none" w:sz="0" w:space="0" w:color="auto"/>
            <w:right w:val="none" w:sz="0" w:space="0" w:color="auto"/>
          </w:divBdr>
        </w:div>
        <w:div w:id="760102661">
          <w:marLeft w:val="0"/>
          <w:marRight w:val="0"/>
          <w:marTop w:val="0"/>
          <w:marBottom w:val="0"/>
          <w:divBdr>
            <w:top w:val="none" w:sz="0" w:space="0" w:color="auto"/>
            <w:left w:val="none" w:sz="0" w:space="0" w:color="auto"/>
            <w:bottom w:val="none" w:sz="0" w:space="0" w:color="auto"/>
            <w:right w:val="none" w:sz="0" w:space="0" w:color="auto"/>
          </w:divBdr>
        </w:div>
        <w:div w:id="1068725581">
          <w:marLeft w:val="0"/>
          <w:marRight w:val="0"/>
          <w:marTop w:val="0"/>
          <w:marBottom w:val="0"/>
          <w:divBdr>
            <w:top w:val="none" w:sz="0" w:space="0" w:color="auto"/>
            <w:left w:val="none" w:sz="0" w:space="0" w:color="auto"/>
            <w:bottom w:val="none" w:sz="0" w:space="0" w:color="auto"/>
            <w:right w:val="none" w:sz="0" w:space="0" w:color="auto"/>
          </w:divBdr>
        </w:div>
        <w:div w:id="873691044">
          <w:marLeft w:val="0"/>
          <w:marRight w:val="0"/>
          <w:marTop w:val="0"/>
          <w:marBottom w:val="0"/>
          <w:divBdr>
            <w:top w:val="none" w:sz="0" w:space="0" w:color="auto"/>
            <w:left w:val="none" w:sz="0" w:space="0" w:color="auto"/>
            <w:bottom w:val="none" w:sz="0" w:space="0" w:color="auto"/>
            <w:right w:val="none" w:sz="0" w:space="0" w:color="auto"/>
          </w:divBdr>
        </w:div>
        <w:div w:id="2034451954">
          <w:marLeft w:val="0"/>
          <w:marRight w:val="0"/>
          <w:marTop w:val="0"/>
          <w:marBottom w:val="0"/>
          <w:divBdr>
            <w:top w:val="none" w:sz="0" w:space="0" w:color="auto"/>
            <w:left w:val="none" w:sz="0" w:space="0" w:color="auto"/>
            <w:bottom w:val="none" w:sz="0" w:space="0" w:color="auto"/>
            <w:right w:val="none" w:sz="0" w:space="0" w:color="auto"/>
          </w:divBdr>
        </w:div>
        <w:div w:id="2100827453">
          <w:marLeft w:val="0"/>
          <w:marRight w:val="0"/>
          <w:marTop w:val="0"/>
          <w:marBottom w:val="0"/>
          <w:divBdr>
            <w:top w:val="none" w:sz="0" w:space="0" w:color="auto"/>
            <w:left w:val="none" w:sz="0" w:space="0" w:color="auto"/>
            <w:bottom w:val="none" w:sz="0" w:space="0" w:color="auto"/>
            <w:right w:val="none" w:sz="0" w:space="0" w:color="auto"/>
          </w:divBdr>
        </w:div>
        <w:div w:id="1481003139">
          <w:marLeft w:val="0"/>
          <w:marRight w:val="0"/>
          <w:marTop w:val="0"/>
          <w:marBottom w:val="0"/>
          <w:divBdr>
            <w:top w:val="none" w:sz="0" w:space="0" w:color="auto"/>
            <w:left w:val="none" w:sz="0" w:space="0" w:color="auto"/>
            <w:bottom w:val="none" w:sz="0" w:space="0" w:color="auto"/>
            <w:right w:val="none" w:sz="0" w:space="0" w:color="auto"/>
          </w:divBdr>
        </w:div>
        <w:div w:id="1256549625">
          <w:marLeft w:val="0"/>
          <w:marRight w:val="0"/>
          <w:marTop w:val="0"/>
          <w:marBottom w:val="0"/>
          <w:divBdr>
            <w:top w:val="none" w:sz="0" w:space="0" w:color="auto"/>
            <w:left w:val="none" w:sz="0" w:space="0" w:color="auto"/>
            <w:bottom w:val="none" w:sz="0" w:space="0" w:color="auto"/>
            <w:right w:val="none" w:sz="0" w:space="0" w:color="auto"/>
          </w:divBdr>
        </w:div>
        <w:div w:id="984698612">
          <w:marLeft w:val="0"/>
          <w:marRight w:val="0"/>
          <w:marTop w:val="0"/>
          <w:marBottom w:val="0"/>
          <w:divBdr>
            <w:top w:val="none" w:sz="0" w:space="0" w:color="auto"/>
            <w:left w:val="none" w:sz="0" w:space="0" w:color="auto"/>
            <w:bottom w:val="none" w:sz="0" w:space="0" w:color="auto"/>
            <w:right w:val="none" w:sz="0" w:space="0" w:color="auto"/>
          </w:divBdr>
        </w:div>
        <w:div w:id="355470900">
          <w:marLeft w:val="0"/>
          <w:marRight w:val="0"/>
          <w:marTop w:val="0"/>
          <w:marBottom w:val="0"/>
          <w:divBdr>
            <w:top w:val="none" w:sz="0" w:space="0" w:color="auto"/>
            <w:left w:val="none" w:sz="0" w:space="0" w:color="auto"/>
            <w:bottom w:val="none" w:sz="0" w:space="0" w:color="auto"/>
            <w:right w:val="none" w:sz="0" w:space="0" w:color="auto"/>
          </w:divBdr>
        </w:div>
        <w:div w:id="862206767">
          <w:marLeft w:val="0"/>
          <w:marRight w:val="0"/>
          <w:marTop w:val="0"/>
          <w:marBottom w:val="0"/>
          <w:divBdr>
            <w:top w:val="none" w:sz="0" w:space="0" w:color="auto"/>
            <w:left w:val="none" w:sz="0" w:space="0" w:color="auto"/>
            <w:bottom w:val="none" w:sz="0" w:space="0" w:color="auto"/>
            <w:right w:val="none" w:sz="0" w:space="0" w:color="auto"/>
          </w:divBdr>
        </w:div>
        <w:div w:id="111678409">
          <w:marLeft w:val="0"/>
          <w:marRight w:val="0"/>
          <w:marTop w:val="0"/>
          <w:marBottom w:val="0"/>
          <w:divBdr>
            <w:top w:val="none" w:sz="0" w:space="0" w:color="auto"/>
            <w:left w:val="none" w:sz="0" w:space="0" w:color="auto"/>
            <w:bottom w:val="none" w:sz="0" w:space="0" w:color="auto"/>
            <w:right w:val="none" w:sz="0" w:space="0" w:color="auto"/>
          </w:divBdr>
        </w:div>
        <w:div w:id="547185967">
          <w:marLeft w:val="0"/>
          <w:marRight w:val="0"/>
          <w:marTop w:val="0"/>
          <w:marBottom w:val="0"/>
          <w:divBdr>
            <w:top w:val="none" w:sz="0" w:space="0" w:color="auto"/>
            <w:left w:val="none" w:sz="0" w:space="0" w:color="auto"/>
            <w:bottom w:val="none" w:sz="0" w:space="0" w:color="auto"/>
            <w:right w:val="none" w:sz="0" w:space="0" w:color="auto"/>
          </w:divBdr>
        </w:div>
        <w:div w:id="1687055846">
          <w:marLeft w:val="0"/>
          <w:marRight w:val="0"/>
          <w:marTop w:val="0"/>
          <w:marBottom w:val="0"/>
          <w:divBdr>
            <w:top w:val="none" w:sz="0" w:space="0" w:color="auto"/>
            <w:left w:val="none" w:sz="0" w:space="0" w:color="auto"/>
            <w:bottom w:val="none" w:sz="0" w:space="0" w:color="auto"/>
            <w:right w:val="none" w:sz="0" w:space="0" w:color="auto"/>
          </w:divBdr>
        </w:div>
        <w:div w:id="911544761">
          <w:marLeft w:val="0"/>
          <w:marRight w:val="0"/>
          <w:marTop w:val="0"/>
          <w:marBottom w:val="0"/>
          <w:divBdr>
            <w:top w:val="none" w:sz="0" w:space="0" w:color="auto"/>
            <w:left w:val="none" w:sz="0" w:space="0" w:color="auto"/>
            <w:bottom w:val="none" w:sz="0" w:space="0" w:color="auto"/>
            <w:right w:val="none" w:sz="0" w:space="0" w:color="auto"/>
          </w:divBdr>
        </w:div>
        <w:div w:id="8533665">
          <w:marLeft w:val="0"/>
          <w:marRight w:val="0"/>
          <w:marTop w:val="0"/>
          <w:marBottom w:val="0"/>
          <w:divBdr>
            <w:top w:val="none" w:sz="0" w:space="0" w:color="auto"/>
            <w:left w:val="none" w:sz="0" w:space="0" w:color="auto"/>
            <w:bottom w:val="none" w:sz="0" w:space="0" w:color="auto"/>
            <w:right w:val="none" w:sz="0" w:space="0" w:color="auto"/>
          </w:divBdr>
          <w:divsChild>
            <w:div w:id="1946039697">
              <w:marLeft w:val="0"/>
              <w:marRight w:val="0"/>
              <w:marTop w:val="0"/>
              <w:marBottom w:val="0"/>
              <w:divBdr>
                <w:top w:val="none" w:sz="0" w:space="0" w:color="auto"/>
                <w:left w:val="none" w:sz="0" w:space="0" w:color="auto"/>
                <w:bottom w:val="none" w:sz="0" w:space="0" w:color="auto"/>
                <w:right w:val="none" w:sz="0" w:space="0" w:color="auto"/>
              </w:divBdr>
            </w:div>
            <w:div w:id="183520165">
              <w:marLeft w:val="0"/>
              <w:marRight w:val="0"/>
              <w:marTop w:val="0"/>
              <w:marBottom w:val="0"/>
              <w:divBdr>
                <w:top w:val="none" w:sz="0" w:space="0" w:color="auto"/>
                <w:left w:val="none" w:sz="0" w:space="0" w:color="auto"/>
                <w:bottom w:val="none" w:sz="0" w:space="0" w:color="auto"/>
                <w:right w:val="none" w:sz="0" w:space="0" w:color="auto"/>
              </w:divBdr>
            </w:div>
            <w:div w:id="247693143">
              <w:marLeft w:val="0"/>
              <w:marRight w:val="0"/>
              <w:marTop w:val="0"/>
              <w:marBottom w:val="0"/>
              <w:divBdr>
                <w:top w:val="none" w:sz="0" w:space="0" w:color="auto"/>
                <w:left w:val="none" w:sz="0" w:space="0" w:color="auto"/>
                <w:bottom w:val="none" w:sz="0" w:space="0" w:color="auto"/>
                <w:right w:val="none" w:sz="0" w:space="0" w:color="auto"/>
              </w:divBdr>
            </w:div>
            <w:div w:id="1688366900">
              <w:marLeft w:val="0"/>
              <w:marRight w:val="0"/>
              <w:marTop w:val="0"/>
              <w:marBottom w:val="0"/>
              <w:divBdr>
                <w:top w:val="none" w:sz="0" w:space="0" w:color="auto"/>
                <w:left w:val="none" w:sz="0" w:space="0" w:color="auto"/>
                <w:bottom w:val="none" w:sz="0" w:space="0" w:color="auto"/>
                <w:right w:val="none" w:sz="0" w:space="0" w:color="auto"/>
              </w:divBdr>
            </w:div>
            <w:div w:id="1181772267">
              <w:marLeft w:val="0"/>
              <w:marRight w:val="0"/>
              <w:marTop w:val="0"/>
              <w:marBottom w:val="0"/>
              <w:divBdr>
                <w:top w:val="none" w:sz="0" w:space="0" w:color="auto"/>
                <w:left w:val="none" w:sz="0" w:space="0" w:color="auto"/>
                <w:bottom w:val="none" w:sz="0" w:space="0" w:color="auto"/>
                <w:right w:val="none" w:sz="0" w:space="0" w:color="auto"/>
              </w:divBdr>
            </w:div>
            <w:div w:id="469440890">
              <w:marLeft w:val="0"/>
              <w:marRight w:val="0"/>
              <w:marTop w:val="0"/>
              <w:marBottom w:val="0"/>
              <w:divBdr>
                <w:top w:val="none" w:sz="0" w:space="0" w:color="auto"/>
                <w:left w:val="none" w:sz="0" w:space="0" w:color="auto"/>
                <w:bottom w:val="none" w:sz="0" w:space="0" w:color="auto"/>
                <w:right w:val="none" w:sz="0" w:space="0" w:color="auto"/>
              </w:divBdr>
            </w:div>
            <w:div w:id="1907177235">
              <w:marLeft w:val="0"/>
              <w:marRight w:val="0"/>
              <w:marTop w:val="0"/>
              <w:marBottom w:val="0"/>
              <w:divBdr>
                <w:top w:val="none" w:sz="0" w:space="0" w:color="auto"/>
                <w:left w:val="none" w:sz="0" w:space="0" w:color="auto"/>
                <w:bottom w:val="none" w:sz="0" w:space="0" w:color="auto"/>
                <w:right w:val="none" w:sz="0" w:space="0" w:color="auto"/>
              </w:divBdr>
            </w:div>
            <w:div w:id="1817214780">
              <w:marLeft w:val="0"/>
              <w:marRight w:val="0"/>
              <w:marTop w:val="0"/>
              <w:marBottom w:val="0"/>
              <w:divBdr>
                <w:top w:val="none" w:sz="0" w:space="0" w:color="auto"/>
                <w:left w:val="none" w:sz="0" w:space="0" w:color="auto"/>
                <w:bottom w:val="none" w:sz="0" w:space="0" w:color="auto"/>
                <w:right w:val="none" w:sz="0" w:space="0" w:color="auto"/>
              </w:divBdr>
            </w:div>
            <w:div w:id="1290820748">
              <w:marLeft w:val="0"/>
              <w:marRight w:val="0"/>
              <w:marTop w:val="0"/>
              <w:marBottom w:val="0"/>
              <w:divBdr>
                <w:top w:val="none" w:sz="0" w:space="0" w:color="auto"/>
                <w:left w:val="none" w:sz="0" w:space="0" w:color="auto"/>
                <w:bottom w:val="none" w:sz="0" w:space="0" w:color="auto"/>
                <w:right w:val="none" w:sz="0" w:space="0" w:color="auto"/>
              </w:divBdr>
            </w:div>
            <w:div w:id="2050910413">
              <w:marLeft w:val="0"/>
              <w:marRight w:val="0"/>
              <w:marTop w:val="0"/>
              <w:marBottom w:val="0"/>
              <w:divBdr>
                <w:top w:val="none" w:sz="0" w:space="0" w:color="auto"/>
                <w:left w:val="none" w:sz="0" w:space="0" w:color="auto"/>
                <w:bottom w:val="none" w:sz="0" w:space="0" w:color="auto"/>
                <w:right w:val="none" w:sz="0" w:space="0" w:color="auto"/>
              </w:divBdr>
            </w:div>
            <w:div w:id="559487204">
              <w:marLeft w:val="0"/>
              <w:marRight w:val="0"/>
              <w:marTop w:val="0"/>
              <w:marBottom w:val="0"/>
              <w:divBdr>
                <w:top w:val="none" w:sz="0" w:space="0" w:color="auto"/>
                <w:left w:val="none" w:sz="0" w:space="0" w:color="auto"/>
                <w:bottom w:val="none" w:sz="0" w:space="0" w:color="auto"/>
                <w:right w:val="none" w:sz="0" w:space="0" w:color="auto"/>
              </w:divBdr>
            </w:div>
            <w:div w:id="1429035756">
              <w:marLeft w:val="0"/>
              <w:marRight w:val="0"/>
              <w:marTop w:val="0"/>
              <w:marBottom w:val="0"/>
              <w:divBdr>
                <w:top w:val="none" w:sz="0" w:space="0" w:color="auto"/>
                <w:left w:val="none" w:sz="0" w:space="0" w:color="auto"/>
                <w:bottom w:val="none" w:sz="0" w:space="0" w:color="auto"/>
                <w:right w:val="none" w:sz="0" w:space="0" w:color="auto"/>
              </w:divBdr>
            </w:div>
            <w:div w:id="1163349715">
              <w:marLeft w:val="0"/>
              <w:marRight w:val="0"/>
              <w:marTop w:val="0"/>
              <w:marBottom w:val="0"/>
              <w:divBdr>
                <w:top w:val="none" w:sz="0" w:space="0" w:color="auto"/>
                <w:left w:val="none" w:sz="0" w:space="0" w:color="auto"/>
                <w:bottom w:val="none" w:sz="0" w:space="0" w:color="auto"/>
                <w:right w:val="none" w:sz="0" w:space="0" w:color="auto"/>
              </w:divBdr>
            </w:div>
            <w:div w:id="369259477">
              <w:marLeft w:val="0"/>
              <w:marRight w:val="0"/>
              <w:marTop w:val="0"/>
              <w:marBottom w:val="0"/>
              <w:divBdr>
                <w:top w:val="none" w:sz="0" w:space="0" w:color="auto"/>
                <w:left w:val="none" w:sz="0" w:space="0" w:color="auto"/>
                <w:bottom w:val="none" w:sz="0" w:space="0" w:color="auto"/>
                <w:right w:val="none" w:sz="0" w:space="0" w:color="auto"/>
              </w:divBdr>
            </w:div>
            <w:div w:id="1282374644">
              <w:marLeft w:val="0"/>
              <w:marRight w:val="0"/>
              <w:marTop w:val="0"/>
              <w:marBottom w:val="0"/>
              <w:divBdr>
                <w:top w:val="none" w:sz="0" w:space="0" w:color="auto"/>
                <w:left w:val="none" w:sz="0" w:space="0" w:color="auto"/>
                <w:bottom w:val="none" w:sz="0" w:space="0" w:color="auto"/>
                <w:right w:val="none" w:sz="0" w:space="0" w:color="auto"/>
              </w:divBdr>
            </w:div>
            <w:div w:id="1963143772">
              <w:marLeft w:val="0"/>
              <w:marRight w:val="0"/>
              <w:marTop w:val="0"/>
              <w:marBottom w:val="0"/>
              <w:divBdr>
                <w:top w:val="none" w:sz="0" w:space="0" w:color="auto"/>
                <w:left w:val="none" w:sz="0" w:space="0" w:color="auto"/>
                <w:bottom w:val="none" w:sz="0" w:space="0" w:color="auto"/>
                <w:right w:val="none" w:sz="0" w:space="0" w:color="auto"/>
              </w:divBdr>
            </w:div>
            <w:div w:id="819809723">
              <w:marLeft w:val="0"/>
              <w:marRight w:val="0"/>
              <w:marTop w:val="0"/>
              <w:marBottom w:val="0"/>
              <w:divBdr>
                <w:top w:val="none" w:sz="0" w:space="0" w:color="auto"/>
                <w:left w:val="none" w:sz="0" w:space="0" w:color="auto"/>
                <w:bottom w:val="none" w:sz="0" w:space="0" w:color="auto"/>
                <w:right w:val="none" w:sz="0" w:space="0" w:color="auto"/>
              </w:divBdr>
            </w:div>
            <w:div w:id="510534424">
              <w:marLeft w:val="0"/>
              <w:marRight w:val="0"/>
              <w:marTop w:val="0"/>
              <w:marBottom w:val="0"/>
              <w:divBdr>
                <w:top w:val="none" w:sz="0" w:space="0" w:color="auto"/>
                <w:left w:val="none" w:sz="0" w:space="0" w:color="auto"/>
                <w:bottom w:val="none" w:sz="0" w:space="0" w:color="auto"/>
                <w:right w:val="none" w:sz="0" w:space="0" w:color="auto"/>
              </w:divBdr>
            </w:div>
            <w:div w:id="1609042080">
              <w:marLeft w:val="0"/>
              <w:marRight w:val="0"/>
              <w:marTop w:val="0"/>
              <w:marBottom w:val="0"/>
              <w:divBdr>
                <w:top w:val="none" w:sz="0" w:space="0" w:color="auto"/>
                <w:left w:val="none" w:sz="0" w:space="0" w:color="auto"/>
                <w:bottom w:val="none" w:sz="0" w:space="0" w:color="auto"/>
                <w:right w:val="none" w:sz="0" w:space="0" w:color="auto"/>
              </w:divBdr>
            </w:div>
            <w:div w:id="1863862161">
              <w:marLeft w:val="0"/>
              <w:marRight w:val="0"/>
              <w:marTop w:val="0"/>
              <w:marBottom w:val="0"/>
              <w:divBdr>
                <w:top w:val="none" w:sz="0" w:space="0" w:color="auto"/>
                <w:left w:val="none" w:sz="0" w:space="0" w:color="auto"/>
                <w:bottom w:val="none" w:sz="0" w:space="0" w:color="auto"/>
                <w:right w:val="none" w:sz="0" w:space="0" w:color="auto"/>
              </w:divBdr>
            </w:div>
            <w:div w:id="813302311">
              <w:marLeft w:val="0"/>
              <w:marRight w:val="0"/>
              <w:marTop w:val="0"/>
              <w:marBottom w:val="0"/>
              <w:divBdr>
                <w:top w:val="none" w:sz="0" w:space="0" w:color="auto"/>
                <w:left w:val="none" w:sz="0" w:space="0" w:color="auto"/>
                <w:bottom w:val="none" w:sz="0" w:space="0" w:color="auto"/>
                <w:right w:val="none" w:sz="0" w:space="0" w:color="auto"/>
              </w:divBdr>
            </w:div>
            <w:div w:id="304940864">
              <w:marLeft w:val="0"/>
              <w:marRight w:val="0"/>
              <w:marTop w:val="0"/>
              <w:marBottom w:val="0"/>
              <w:divBdr>
                <w:top w:val="none" w:sz="0" w:space="0" w:color="auto"/>
                <w:left w:val="none" w:sz="0" w:space="0" w:color="auto"/>
                <w:bottom w:val="none" w:sz="0" w:space="0" w:color="auto"/>
                <w:right w:val="none" w:sz="0" w:space="0" w:color="auto"/>
              </w:divBdr>
            </w:div>
            <w:div w:id="1549678907">
              <w:marLeft w:val="0"/>
              <w:marRight w:val="0"/>
              <w:marTop w:val="0"/>
              <w:marBottom w:val="0"/>
              <w:divBdr>
                <w:top w:val="none" w:sz="0" w:space="0" w:color="auto"/>
                <w:left w:val="none" w:sz="0" w:space="0" w:color="auto"/>
                <w:bottom w:val="none" w:sz="0" w:space="0" w:color="auto"/>
                <w:right w:val="none" w:sz="0" w:space="0" w:color="auto"/>
              </w:divBdr>
            </w:div>
            <w:div w:id="590548016">
              <w:marLeft w:val="0"/>
              <w:marRight w:val="0"/>
              <w:marTop w:val="0"/>
              <w:marBottom w:val="0"/>
              <w:divBdr>
                <w:top w:val="none" w:sz="0" w:space="0" w:color="auto"/>
                <w:left w:val="none" w:sz="0" w:space="0" w:color="auto"/>
                <w:bottom w:val="none" w:sz="0" w:space="0" w:color="auto"/>
                <w:right w:val="none" w:sz="0" w:space="0" w:color="auto"/>
              </w:divBdr>
            </w:div>
            <w:div w:id="153189117">
              <w:marLeft w:val="0"/>
              <w:marRight w:val="0"/>
              <w:marTop w:val="0"/>
              <w:marBottom w:val="0"/>
              <w:divBdr>
                <w:top w:val="none" w:sz="0" w:space="0" w:color="auto"/>
                <w:left w:val="none" w:sz="0" w:space="0" w:color="auto"/>
                <w:bottom w:val="none" w:sz="0" w:space="0" w:color="auto"/>
                <w:right w:val="none" w:sz="0" w:space="0" w:color="auto"/>
              </w:divBdr>
            </w:div>
            <w:div w:id="2061202403">
              <w:marLeft w:val="0"/>
              <w:marRight w:val="0"/>
              <w:marTop w:val="0"/>
              <w:marBottom w:val="0"/>
              <w:divBdr>
                <w:top w:val="none" w:sz="0" w:space="0" w:color="auto"/>
                <w:left w:val="none" w:sz="0" w:space="0" w:color="auto"/>
                <w:bottom w:val="none" w:sz="0" w:space="0" w:color="auto"/>
                <w:right w:val="none" w:sz="0" w:space="0" w:color="auto"/>
              </w:divBdr>
            </w:div>
            <w:div w:id="3939562">
              <w:marLeft w:val="0"/>
              <w:marRight w:val="0"/>
              <w:marTop w:val="0"/>
              <w:marBottom w:val="0"/>
              <w:divBdr>
                <w:top w:val="none" w:sz="0" w:space="0" w:color="auto"/>
                <w:left w:val="none" w:sz="0" w:space="0" w:color="auto"/>
                <w:bottom w:val="none" w:sz="0" w:space="0" w:color="auto"/>
                <w:right w:val="none" w:sz="0" w:space="0" w:color="auto"/>
              </w:divBdr>
            </w:div>
            <w:div w:id="363363256">
              <w:marLeft w:val="0"/>
              <w:marRight w:val="0"/>
              <w:marTop w:val="0"/>
              <w:marBottom w:val="0"/>
              <w:divBdr>
                <w:top w:val="none" w:sz="0" w:space="0" w:color="auto"/>
                <w:left w:val="none" w:sz="0" w:space="0" w:color="auto"/>
                <w:bottom w:val="none" w:sz="0" w:space="0" w:color="auto"/>
                <w:right w:val="none" w:sz="0" w:space="0" w:color="auto"/>
              </w:divBdr>
              <w:divsChild>
                <w:div w:id="1140807885">
                  <w:marLeft w:val="0"/>
                  <w:marRight w:val="0"/>
                  <w:marTop w:val="0"/>
                  <w:marBottom w:val="0"/>
                  <w:divBdr>
                    <w:top w:val="none" w:sz="0" w:space="0" w:color="auto"/>
                    <w:left w:val="none" w:sz="0" w:space="0" w:color="auto"/>
                    <w:bottom w:val="none" w:sz="0" w:space="0" w:color="auto"/>
                    <w:right w:val="none" w:sz="0" w:space="0" w:color="auto"/>
                  </w:divBdr>
                </w:div>
                <w:div w:id="1486702520">
                  <w:marLeft w:val="0"/>
                  <w:marRight w:val="0"/>
                  <w:marTop w:val="0"/>
                  <w:marBottom w:val="0"/>
                  <w:divBdr>
                    <w:top w:val="none" w:sz="0" w:space="0" w:color="auto"/>
                    <w:left w:val="none" w:sz="0" w:space="0" w:color="auto"/>
                    <w:bottom w:val="none" w:sz="0" w:space="0" w:color="auto"/>
                    <w:right w:val="none" w:sz="0" w:space="0" w:color="auto"/>
                  </w:divBdr>
                </w:div>
                <w:div w:id="1786578398">
                  <w:marLeft w:val="0"/>
                  <w:marRight w:val="0"/>
                  <w:marTop w:val="0"/>
                  <w:marBottom w:val="0"/>
                  <w:divBdr>
                    <w:top w:val="none" w:sz="0" w:space="0" w:color="auto"/>
                    <w:left w:val="none" w:sz="0" w:space="0" w:color="auto"/>
                    <w:bottom w:val="none" w:sz="0" w:space="0" w:color="auto"/>
                    <w:right w:val="none" w:sz="0" w:space="0" w:color="auto"/>
                  </w:divBdr>
                </w:div>
                <w:div w:id="601884837">
                  <w:marLeft w:val="0"/>
                  <w:marRight w:val="0"/>
                  <w:marTop w:val="0"/>
                  <w:marBottom w:val="0"/>
                  <w:divBdr>
                    <w:top w:val="none" w:sz="0" w:space="0" w:color="auto"/>
                    <w:left w:val="none" w:sz="0" w:space="0" w:color="auto"/>
                    <w:bottom w:val="none" w:sz="0" w:space="0" w:color="auto"/>
                    <w:right w:val="none" w:sz="0" w:space="0" w:color="auto"/>
                  </w:divBdr>
                </w:div>
                <w:div w:id="866218627">
                  <w:marLeft w:val="0"/>
                  <w:marRight w:val="0"/>
                  <w:marTop w:val="0"/>
                  <w:marBottom w:val="0"/>
                  <w:divBdr>
                    <w:top w:val="none" w:sz="0" w:space="0" w:color="auto"/>
                    <w:left w:val="none" w:sz="0" w:space="0" w:color="auto"/>
                    <w:bottom w:val="none" w:sz="0" w:space="0" w:color="auto"/>
                    <w:right w:val="none" w:sz="0" w:space="0" w:color="auto"/>
                  </w:divBdr>
                </w:div>
                <w:div w:id="1156871375">
                  <w:marLeft w:val="0"/>
                  <w:marRight w:val="0"/>
                  <w:marTop w:val="0"/>
                  <w:marBottom w:val="0"/>
                  <w:divBdr>
                    <w:top w:val="none" w:sz="0" w:space="0" w:color="auto"/>
                    <w:left w:val="none" w:sz="0" w:space="0" w:color="auto"/>
                    <w:bottom w:val="none" w:sz="0" w:space="0" w:color="auto"/>
                    <w:right w:val="none" w:sz="0" w:space="0" w:color="auto"/>
                  </w:divBdr>
                </w:div>
                <w:div w:id="1668902061">
                  <w:marLeft w:val="0"/>
                  <w:marRight w:val="0"/>
                  <w:marTop w:val="0"/>
                  <w:marBottom w:val="0"/>
                  <w:divBdr>
                    <w:top w:val="none" w:sz="0" w:space="0" w:color="auto"/>
                    <w:left w:val="none" w:sz="0" w:space="0" w:color="auto"/>
                    <w:bottom w:val="none" w:sz="0" w:space="0" w:color="auto"/>
                    <w:right w:val="none" w:sz="0" w:space="0" w:color="auto"/>
                  </w:divBdr>
                </w:div>
                <w:div w:id="520556684">
                  <w:marLeft w:val="0"/>
                  <w:marRight w:val="0"/>
                  <w:marTop w:val="0"/>
                  <w:marBottom w:val="0"/>
                  <w:divBdr>
                    <w:top w:val="none" w:sz="0" w:space="0" w:color="auto"/>
                    <w:left w:val="none" w:sz="0" w:space="0" w:color="auto"/>
                    <w:bottom w:val="none" w:sz="0" w:space="0" w:color="auto"/>
                    <w:right w:val="none" w:sz="0" w:space="0" w:color="auto"/>
                  </w:divBdr>
                </w:div>
                <w:div w:id="1150055574">
                  <w:marLeft w:val="0"/>
                  <w:marRight w:val="0"/>
                  <w:marTop w:val="0"/>
                  <w:marBottom w:val="0"/>
                  <w:divBdr>
                    <w:top w:val="none" w:sz="0" w:space="0" w:color="auto"/>
                    <w:left w:val="none" w:sz="0" w:space="0" w:color="auto"/>
                    <w:bottom w:val="none" w:sz="0" w:space="0" w:color="auto"/>
                    <w:right w:val="none" w:sz="0" w:space="0" w:color="auto"/>
                  </w:divBdr>
                  <w:divsChild>
                    <w:div w:id="1269040777">
                      <w:marLeft w:val="0"/>
                      <w:marRight w:val="0"/>
                      <w:marTop w:val="0"/>
                      <w:marBottom w:val="0"/>
                      <w:divBdr>
                        <w:top w:val="none" w:sz="0" w:space="0" w:color="auto"/>
                        <w:left w:val="none" w:sz="0" w:space="0" w:color="auto"/>
                        <w:bottom w:val="none" w:sz="0" w:space="0" w:color="auto"/>
                        <w:right w:val="none" w:sz="0" w:space="0" w:color="auto"/>
                      </w:divBdr>
                    </w:div>
                    <w:div w:id="1073311023">
                      <w:marLeft w:val="0"/>
                      <w:marRight w:val="0"/>
                      <w:marTop w:val="0"/>
                      <w:marBottom w:val="0"/>
                      <w:divBdr>
                        <w:top w:val="none" w:sz="0" w:space="0" w:color="auto"/>
                        <w:left w:val="none" w:sz="0" w:space="0" w:color="auto"/>
                        <w:bottom w:val="none" w:sz="0" w:space="0" w:color="auto"/>
                        <w:right w:val="none" w:sz="0" w:space="0" w:color="auto"/>
                      </w:divBdr>
                    </w:div>
                    <w:div w:id="1027214195">
                      <w:marLeft w:val="0"/>
                      <w:marRight w:val="0"/>
                      <w:marTop w:val="0"/>
                      <w:marBottom w:val="0"/>
                      <w:divBdr>
                        <w:top w:val="none" w:sz="0" w:space="0" w:color="auto"/>
                        <w:left w:val="none" w:sz="0" w:space="0" w:color="auto"/>
                        <w:bottom w:val="none" w:sz="0" w:space="0" w:color="auto"/>
                        <w:right w:val="none" w:sz="0" w:space="0" w:color="auto"/>
                      </w:divBdr>
                    </w:div>
                    <w:div w:id="1241910683">
                      <w:marLeft w:val="0"/>
                      <w:marRight w:val="0"/>
                      <w:marTop w:val="0"/>
                      <w:marBottom w:val="0"/>
                      <w:divBdr>
                        <w:top w:val="none" w:sz="0" w:space="0" w:color="auto"/>
                        <w:left w:val="none" w:sz="0" w:space="0" w:color="auto"/>
                        <w:bottom w:val="none" w:sz="0" w:space="0" w:color="auto"/>
                        <w:right w:val="none" w:sz="0" w:space="0" w:color="auto"/>
                      </w:divBdr>
                    </w:div>
                    <w:div w:id="841313893">
                      <w:marLeft w:val="0"/>
                      <w:marRight w:val="0"/>
                      <w:marTop w:val="0"/>
                      <w:marBottom w:val="0"/>
                      <w:divBdr>
                        <w:top w:val="none" w:sz="0" w:space="0" w:color="auto"/>
                        <w:left w:val="none" w:sz="0" w:space="0" w:color="auto"/>
                        <w:bottom w:val="none" w:sz="0" w:space="0" w:color="auto"/>
                        <w:right w:val="none" w:sz="0" w:space="0" w:color="auto"/>
                      </w:divBdr>
                    </w:div>
                  </w:divsChild>
                </w:div>
                <w:div w:id="1503352652">
                  <w:marLeft w:val="0"/>
                  <w:marRight w:val="0"/>
                  <w:marTop w:val="0"/>
                  <w:marBottom w:val="0"/>
                  <w:divBdr>
                    <w:top w:val="none" w:sz="0" w:space="0" w:color="auto"/>
                    <w:left w:val="none" w:sz="0" w:space="0" w:color="auto"/>
                    <w:bottom w:val="none" w:sz="0" w:space="0" w:color="auto"/>
                    <w:right w:val="none" w:sz="0" w:space="0" w:color="auto"/>
                  </w:divBdr>
                </w:div>
                <w:div w:id="267809550">
                  <w:marLeft w:val="0"/>
                  <w:marRight w:val="0"/>
                  <w:marTop w:val="0"/>
                  <w:marBottom w:val="0"/>
                  <w:divBdr>
                    <w:top w:val="none" w:sz="0" w:space="0" w:color="auto"/>
                    <w:left w:val="none" w:sz="0" w:space="0" w:color="auto"/>
                    <w:bottom w:val="none" w:sz="0" w:space="0" w:color="auto"/>
                    <w:right w:val="none" w:sz="0" w:space="0" w:color="auto"/>
                  </w:divBdr>
                </w:div>
                <w:div w:id="266281884">
                  <w:marLeft w:val="0"/>
                  <w:marRight w:val="0"/>
                  <w:marTop w:val="0"/>
                  <w:marBottom w:val="0"/>
                  <w:divBdr>
                    <w:top w:val="none" w:sz="0" w:space="0" w:color="auto"/>
                    <w:left w:val="none" w:sz="0" w:space="0" w:color="auto"/>
                    <w:bottom w:val="none" w:sz="0" w:space="0" w:color="auto"/>
                    <w:right w:val="none" w:sz="0" w:space="0" w:color="auto"/>
                  </w:divBdr>
                </w:div>
                <w:div w:id="523129873">
                  <w:marLeft w:val="0"/>
                  <w:marRight w:val="0"/>
                  <w:marTop w:val="0"/>
                  <w:marBottom w:val="0"/>
                  <w:divBdr>
                    <w:top w:val="none" w:sz="0" w:space="0" w:color="auto"/>
                    <w:left w:val="none" w:sz="0" w:space="0" w:color="auto"/>
                    <w:bottom w:val="none" w:sz="0" w:space="0" w:color="auto"/>
                    <w:right w:val="none" w:sz="0" w:space="0" w:color="auto"/>
                  </w:divBdr>
                </w:div>
                <w:div w:id="798492857">
                  <w:marLeft w:val="0"/>
                  <w:marRight w:val="0"/>
                  <w:marTop w:val="0"/>
                  <w:marBottom w:val="0"/>
                  <w:divBdr>
                    <w:top w:val="none" w:sz="0" w:space="0" w:color="auto"/>
                    <w:left w:val="none" w:sz="0" w:space="0" w:color="auto"/>
                    <w:bottom w:val="none" w:sz="0" w:space="0" w:color="auto"/>
                    <w:right w:val="none" w:sz="0" w:space="0" w:color="auto"/>
                  </w:divBdr>
                </w:div>
                <w:div w:id="978655642">
                  <w:marLeft w:val="0"/>
                  <w:marRight w:val="0"/>
                  <w:marTop w:val="0"/>
                  <w:marBottom w:val="0"/>
                  <w:divBdr>
                    <w:top w:val="none" w:sz="0" w:space="0" w:color="auto"/>
                    <w:left w:val="none" w:sz="0" w:space="0" w:color="auto"/>
                    <w:bottom w:val="none" w:sz="0" w:space="0" w:color="auto"/>
                    <w:right w:val="none" w:sz="0" w:space="0" w:color="auto"/>
                  </w:divBdr>
                </w:div>
                <w:div w:id="1146361721">
                  <w:marLeft w:val="0"/>
                  <w:marRight w:val="0"/>
                  <w:marTop w:val="0"/>
                  <w:marBottom w:val="0"/>
                  <w:divBdr>
                    <w:top w:val="none" w:sz="0" w:space="0" w:color="auto"/>
                    <w:left w:val="none" w:sz="0" w:space="0" w:color="auto"/>
                    <w:bottom w:val="none" w:sz="0" w:space="0" w:color="auto"/>
                    <w:right w:val="none" w:sz="0" w:space="0" w:color="auto"/>
                  </w:divBdr>
                </w:div>
                <w:div w:id="423961472">
                  <w:marLeft w:val="0"/>
                  <w:marRight w:val="0"/>
                  <w:marTop w:val="0"/>
                  <w:marBottom w:val="0"/>
                  <w:divBdr>
                    <w:top w:val="none" w:sz="0" w:space="0" w:color="auto"/>
                    <w:left w:val="none" w:sz="0" w:space="0" w:color="auto"/>
                    <w:bottom w:val="none" w:sz="0" w:space="0" w:color="auto"/>
                    <w:right w:val="none" w:sz="0" w:space="0" w:color="auto"/>
                  </w:divBdr>
                </w:div>
                <w:div w:id="2133748080">
                  <w:marLeft w:val="0"/>
                  <w:marRight w:val="0"/>
                  <w:marTop w:val="0"/>
                  <w:marBottom w:val="0"/>
                  <w:divBdr>
                    <w:top w:val="none" w:sz="0" w:space="0" w:color="auto"/>
                    <w:left w:val="none" w:sz="0" w:space="0" w:color="auto"/>
                    <w:bottom w:val="none" w:sz="0" w:space="0" w:color="auto"/>
                    <w:right w:val="none" w:sz="0" w:space="0" w:color="auto"/>
                  </w:divBdr>
                </w:div>
                <w:div w:id="231819897">
                  <w:marLeft w:val="0"/>
                  <w:marRight w:val="0"/>
                  <w:marTop w:val="0"/>
                  <w:marBottom w:val="0"/>
                  <w:divBdr>
                    <w:top w:val="none" w:sz="0" w:space="0" w:color="auto"/>
                    <w:left w:val="none" w:sz="0" w:space="0" w:color="auto"/>
                    <w:bottom w:val="none" w:sz="0" w:space="0" w:color="auto"/>
                    <w:right w:val="none" w:sz="0" w:space="0" w:color="auto"/>
                  </w:divBdr>
                </w:div>
                <w:div w:id="312368836">
                  <w:marLeft w:val="0"/>
                  <w:marRight w:val="0"/>
                  <w:marTop w:val="0"/>
                  <w:marBottom w:val="0"/>
                  <w:divBdr>
                    <w:top w:val="none" w:sz="0" w:space="0" w:color="auto"/>
                    <w:left w:val="none" w:sz="0" w:space="0" w:color="auto"/>
                    <w:bottom w:val="none" w:sz="0" w:space="0" w:color="auto"/>
                    <w:right w:val="none" w:sz="0" w:space="0" w:color="auto"/>
                  </w:divBdr>
                </w:div>
                <w:div w:id="913590385">
                  <w:marLeft w:val="0"/>
                  <w:marRight w:val="0"/>
                  <w:marTop w:val="0"/>
                  <w:marBottom w:val="0"/>
                  <w:divBdr>
                    <w:top w:val="none" w:sz="0" w:space="0" w:color="auto"/>
                    <w:left w:val="none" w:sz="0" w:space="0" w:color="auto"/>
                    <w:bottom w:val="none" w:sz="0" w:space="0" w:color="auto"/>
                    <w:right w:val="none" w:sz="0" w:space="0" w:color="auto"/>
                  </w:divBdr>
                </w:div>
                <w:div w:id="591163527">
                  <w:marLeft w:val="0"/>
                  <w:marRight w:val="0"/>
                  <w:marTop w:val="0"/>
                  <w:marBottom w:val="0"/>
                  <w:divBdr>
                    <w:top w:val="none" w:sz="0" w:space="0" w:color="auto"/>
                    <w:left w:val="none" w:sz="0" w:space="0" w:color="auto"/>
                    <w:bottom w:val="none" w:sz="0" w:space="0" w:color="auto"/>
                    <w:right w:val="none" w:sz="0" w:space="0" w:color="auto"/>
                  </w:divBdr>
                </w:div>
              </w:divsChild>
            </w:div>
            <w:div w:id="1741249214">
              <w:marLeft w:val="0"/>
              <w:marRight w:val="0"/>
              <w:marTop w:val="0"/>
              <w:marBottom w:val="0"/>
              <w:divBdr>
                <w:top w:val="none" w:sz="0" w:space="0" w:color="auto"/>
                <w:left w:val="none" w:sz="0" w:space="0" w:color="auto"/>
                <w:bottom w:val="none" w:sz="0" w:space="0" w:color="auto"/>
                <w:right w:val="none" w:sz="0" w:space="0" w:color="auto"/>
              </w:divBdr>
            </w:div>
            <w:div w:id="1013923318">
              <w:marLeft w:val="0"/>
              <w:marRight w:val="0"/>
              <w:marTop w:val="0"/>
              <w:marBottom w:val="0"/>
              <w:divBdr>
                <w:top w:val="none" w:sz="0" w:space="0" w:color="auto"/>
                <w:left w:val="none" w:sz="0" w:space="0" w:color="auto"/>
                <w:bottom w:val="none" w:sz="0" w:space="0" w:color="auto"/>
                <w:right w:val="none" w:sz="0" w:space="0" w:color="auto"/>
              </w:divBdr>
            </w:div>
            <w:div w:id="643245116">
              <w:marLeft w:val="0"/>
              <w:marRight w:val="0"/>
              <w:marTop w:val="0"/>
              <w:marBottom w:val="0"/>
              <w:divBdr>
                <w:top w:val="none" w:sz="0" w:space="0" w:color="auto"/>
                <w:left w:val="none" w:sz="0" w:space="0" w:color="auto"/>
                <w:bottom w:val="none" w:sz="0" w:space="0" w:color="auto"/>
                <w:right w:val="none" w:sz="0" w:space="0" w:color="auto"/>
              </w:divBdr>
            </w:div>
            <w:div w:id="432677140">
              <w:marLeft w:val="0"/>
              <w:marRight w:val="0"/>
              <w:marTop w:val="0"/>
              <w:marBottom w:val="0"/>
              <w:divBdr>
                <w:top w:val="none" w:sz="0" w:space="0" w:color="auto"/>
                <w:left w:val="none" w:sz="0" w:space="0" w:color="auto"/>
                <w:bottom w:val="none" w:sz="0" w:space="0" w:color="auto"/>
                <w:right w:val="none" w:sz="0" w:space="0" w:color="auto"/>
              </w:divBdr>
            </w:div>
          </w:divsChild>
        </w:div>
        <w:div w:id="1256981532">
          <w:marLeft w:val="0"/>
          <w:marRight w:val="0"/>
          <w:marTop w:val="0"/>
          <w:marBottom w:val="0"/>
          <w:divBdr>
            <w:top w:val="none" w:sz="0" w:space="0" w:color="auto"/>
            <w:left w:val="none" w:sz="0" w:space="0" w:color="auto"/>
            <w:bottom w:val="none" w:sz="0" w:space="0" w:color="auto"/>
            <w:right w:val="none" w:sz="0" w:space="0" w:color="auto"/>
          </w:divBdr>
        </w:div>
        <w:div w:id="234516822">
          <w:marLeft w:val="0"/>
          <w:marRight w:val="0"/>
          <w:marTop w:val="0"/>
          <w:marBottom w:val="0"/>
          <w:divBdr>
            <w:top w:val="none" w:sz="0" w:space="0" w:color="auto"/>
            <w:left w:val="none" w:sz="0" w:space="0" w:color="auto"/>
            <w:bottom w:val="none" w:sz="0" w:space="0" w:color="auto"/>
            <w:right w:val="none" w:sz="0" w:space="0" w:color="auto"/>
          </w:divBdr>
        </w:div>
        <w:div w:id="358240778">
          <w:marLeft w:val="0"/>
          <w:marRight w:val="0"/>
          <w:marTop w:val="0"/>
          <w:marBottom w:val="0"/>
          <w:divBdr>
            <w:top w:val="none" w:sz="0" w:space="0" w:color="auto"/>
            <w:left w:val="none" w:sz="0" w:space="0" w:color="auto"/>
            <w:bottom w:val="none" w:sz="0" w:space="0" w:color="auto"/>
            <w:right w:val="none" w:sz="0" w:space="0" w:color="auto"/>
          </w:divBdr>
        </w:div>
        <w:div w:id="2034845736">
          <w:marLeft w:val="0"/>
          <w:marRight w:val="0"/>
          <w:marTop w:val="0"/>
          <w:marBottom w:val="0"/>
          <w:divBdr>
            <w:top w:val="none" w:sz="0" w:space="0" w:color="auto"/>
            <w:left w:val="none" w:sz="0" w:space="0" w:color="auto"/>
            <w:bottom w:val="none" w:sz="0" w:space="0" w:color="auto"/>
            <w:right w:val="none" w:sz="0" w:space="0" w:color="auto"/>
          </w:divBdr>
        </w:div>
        <w:div w:id="1176110169">
          <w:marLeft w:val="0"/>
          <w:marRight w:val="0"/>
          <w:marTop w:val="0"/>
          <w:marBottom w:val="0"/>
          <w:divBdr>
            <w:top w:val="none" w:sz="0" w:space="0" w:color="auto"/>
            <w:left w:val="none" w:sz="0" w:space="0" w:color="auto"/>
            <w:bottom w:val="none" w:sz="0" w:space="0" w:color="auto"/>
            <w:right w:val="none" w:sz="0" w:space="0" w:color="auto"/>
          </w:divBdr>
        </w:div>
        <w:div w:id="1638533362">
          <w:marLeft w:val="0"/>
          <w:marRight w:val="0"/>
          <w:marTop w:val="0"/>
          <w:marBottom w:val="0"/>
          <w:divBdr>
            <w:top w:val="none" w:sz="0" w:space="0" w:color="auto"/>
            <w:left w:val="none" w:sz="0" w:space="0" w:color="auto"/>
            <w:bottom w:val="none" w:sz="0" w:space="0" w:color="auto"/>
            <w:right w:val="none" w:sz="0" w:space="0" w:color="auto"/>
          </w:divBdr>
        </w:div>
        <w:div w:id="2095978238">
          <w:marLeft w:val="0"/>
          <w:marRight w:val="0"/>
          <w:marTop w:val="0"/>
          <w:marBottom w:val="0"/>
          <w:divBdr>
            <w:top w:val="none" w:sz="0" w:space="0" w:color="auto"/>
            <w:left w:val="none" w:sz="0" w:space="0" w:color="auto"/>
            <w:bottom w:val="none" w:sz="0" w:space="0" w:color="auto"/>
            <w:right w:val="none" w:sz="0" w:space="0" w:color="auto"/>
          </w:divBdr>
        </w:div>
        <w:div w:id="508909804">
          <w:marLeft w:val="0"/>
          <w:marRight w:val="0"/>
          <w:marTop w:val="0"/>
          <w:marBottom w:val="0"/>
          <w:divBdr>
            <w:top w:val="none" w:sz="0" w:space="0" w:color="auto"/>
            <w:left w:val="none" w:sz="0" w:space="0" w:color="auto"/>
            <w:bottom w:val="none" w:sz="0" w:space="0" w:color="auto"/>
            <w:right w:val="none" w:sz="0" w:space="0" w:color="auto"/>
          </w:divBdr>
        </w:div>
        <w:div w:id="211697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41DF1-DDDB-46AB-9192-23F2BE40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2351</Words>
  <Characters>13403</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Duba Kopun</dc:creator>
  <cp:lastModifiedBy>Duba Kopun</cp:lastModifiedBy>
  <cp:revision>3</cp:revision>
  <dcterms:created xsi:type="dcterms:W3CDTF">2019-07-22T14:17:00Z</dcterms:created>
  <dcterms:modified xsi:type="dcterms:W3CDTF">2019-07-22T14:17:00Z</dcterms:modified>
</cp:coreProperties>
</file>